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50" w:rsidRPr="00E52150" w:rsidRDefault="00E52150" w:rsidP="000273E7">
      <w:pPr>
        <w:pStyle w:val="ad"/>
        <w:spacing w:beforeLines="0" w:before="0" w:line="480" w:lineRule="exact"/>
      </w:pPr>
      <w:r w:rsidRPr="00E52150">
        <w:t>The Relationship of Cognitive Age, Need for Cognition and Advertising Effect for the Elderly</w:t>
      </w:r>
    </w:p>
    <w:p w:rsidR="00E52150" w:rsidRPr="008E483E" w:rsidRDefault="00E52150" w:rsidP="008E483E">
      <w:pPr>
        <w:pStyle w:val="af1"/>
        <w:spacing w:afterLines="20" w:after="72" w:line="360" w:lineRule="exact"/>
        <w:rPr>
          <w:rFonts w:eastAsia="微軟正黑體"/>
        </w:rPr>
      </w:pPr>
      <w:r w:rsidRPr="008E483E">
        <w:rPr>
          <w:rFonts w:eastAsia="微軟正黑體"/>
        </w:rPr>
        <w:t>Shu-Yin Yu*  Pin-Chang Lin**</w:t>
      </w:r>
    </w:p>
    <w:p w:rsidR="00E52150" w:rsidRPr="00E52150" w:rsidRDefault="00E52150" w:rsidP="00BC5F55">
      <w:pPr>
        <w:pStyle w:val="af"/>
      </w:pPr>
      <w:r>
        <w:rPr>
          <w:rFonts w:hint="eastAsia"/>
        </w:rPr>
        <w:t>*</w:t>
      </w:r>
      <w:r w:rsidRPr="00E52150">
        <w:t>Commercial Design Department, Ming-Chun University</w:t>
      </w:r>
    </w:p>
    <w:p w:rsidR="00A02ABA" w:rsidRDefault="00E52150" w:rsidP="00A02ABA">
      <w:pPr>
        <w:pStyle w:val="af"/>
      </w:pPr>
      <w:r>
        <w:rPr>
          <w:rFonts w:hint="eastAsia"/>
        </w:rPr>
        <w:t>**</w:t>
      </w:r>
      <w:r w:rsidRPr="00E52150">
        <w:t xml:space="preserve">Digital Media Department, Ming-Chun </w:t>
      </w:r>
      <w:r w:rsidR="00A02ABA" w:rsidRPr="00E52150">
        <w:t>University</w:t>
      </w:r>
    </w:p>
    <w:p w:rsidR="00E52150" w:rsidRPr="008E483E" w:rsidRDefault="00E52150" w:rsidP="00A02ABA">
      <w:pPr>
        <w:pStyle w:val="af"/>
      </w:pPr>
    </w:p>
    <w:p w:rsidR="00E52150" w:rsidRPr="00CC27FA" w:rsidRDefault="00E52150" w:rsidP="00CC27FA">
      <w:pPr>
        <w:pStyle w:val="af3"/>
        <w:spacing w:beforeLines="150" w:before="540" w:line="400" w:lineRule="exact"/>
        <w:rPr>
          <w:rFonts w:eastAsia="微軟正黑體"/>
          <w:sz w:val="30"/>
          <w:szCs w:val="30"/>
        </w:rPr>
      </w:pPr>
      <w:r w:rsidRPr="00CC27FA">
        <w:rPr>
          <w:rFonts w:eastAsia="微軟正黑體"/>
          <w:sz w:val="30"/>
          <w:szCs w:val="30"/>
        </w:rPr>
        <w:t>Abstract</w:t>
      </w:r>
    </w:p>
    <w:p w:rsidR="00E52150" w:rsidRPr="00EB7647" w:rsidRDefault="00E52150" w:rsidP="0042585C">
      <w:pPr>
        <w:pStyle w:val="Abstract0"/>
        <w:ind w:rightChars="0" w:right="0" w:firstLineChars="200" w:firstLine="400"/>
        <w:rPr>
          <w:sz w:val="20"/>
          <w:szCs w:val="20"/>
        </w:rPr>
      </w:pPr>
      <w:r w:rsidRPr="00EB7647">
        <w:rPr>
          <w:sz w:val="20"/>
          <w:szCs w:val="20"/>
        </w:rPr>
        <w:t xml:space="preserve">The growing aging population worldwide has raised the importance and opportunities of the aging marketing. Although there are many studies focus on the field of gerontology, but most of them are limited in the medical treatment, nursing and social welfare. This study aims to understand the cognitive psychology of the elderly as a reference of marketing communication. In order to interpret the communication effects of the elderly after reading the advertisement, this paper focuses on both cognitive age reflected the self-perception and need for cognition showed the depth of message thinking. Two sections are included: the first section is the study on cognitive age and need for cognition of the elderly; the second section is the investigation on the effects of cognition, affection and action after reading advertising samples. </w:t>
      </w:r>
    </w:p>
    <w:p w:rsidR="000B39E8" w:rsidRPr="00EB7647" w:rsidRDefault="000B39E8" w:rsidP="004D28AE">
      <w:pPr>
        <w:ind w:leftChars="200" w:left="480" w:rightChars="159" w:right="382" w:firstLineChars="180" w:firstLine="360"/>
        <w:rPr>
          <w:rFonts w:asciiTheme="majorHAnsi" w:eastAsia="細明體" w:hAnsiTheme="majorHAnsi"/>
          <w:sz w:val="20"/>
          <w:szCs w:val="20"/>
        </w:rPr>
      </w:pPr>
    </w:p>
    <w:p w:rsidR="00E52150" w:rsidRPr="00EB7647" w:rsidRDefault="00E52150" w:rsidP="00BC5F55">
      <w:pPr>
        <w:pStyle w:val="Keywords"/>
        <w:rPr>
          <w:sz w:val="20"/>
          <w:szCs w:val="20"/>
        </w:rPr>
      </w:pPr>
      <w:r w:rsidRPr="00EB7647">
        <w:rPr>
          <w:sz w:val="20"/>
          <w:szCs w:val="20"/>
        </w:rPr>
        <w:t xml:space="preserve">Keywords: </w:t>
      </w:r>
      <w:r w:rsidR="0004087C" w:rsidRPr="00EB7647">
        <w:rPr>
          <w:sz w:val="20"/>
          <w:szCs w:val="20"/>
        </w:rPr>
        <w:t>The elderly, Advertising effect, Cognitive age, N</w:t>
      </w:r>
      <w:r w:rsidRPr="00EB7647">
        <w:rPr>
          <w:sz w:val="20"/>
          <w:szCs w:val="20"/>
        </w:rPr>
        <w:t>eed for cognition</w:t>
      </w:r>
    </w:p>
    <w:p w:rsidR="00E52150" w:rsidRDefault="00E52150">
      <w:pPr>
        <w:widowControl/>
        <w:rPr>
          <w:rFonts w:asciiTheme="majorHAnsi" w:eastAsia="文鼎粗仿" w:hAnsiTheme="majorHAnsi" w:cs="Times New Roman"/>
          <w:sz w:val="44"/>
          <w:szCs w:val="44"/>
        </w:rPr>
      </w:pPr>
      <w:r>
        <w:rPr>
          <w:rFonts w:asciiTheme="majorHAnsi" w:eastAsia="文鼎粗仿" w:hAnsiTheme="majorHAnsi" w:cs="Times New Roman"/>
          <w:sz w:val="44"/>
          <w:szCs w:val="44"/>
        </w:rPr>
        <w:br w:type="page"/>
      </w:r>
    </w:p>
    <w:p w:rsidR="0084322C" w:rsidRPr="000273E7" w:rsidRDefault="0084322C" w:rsidP="000273E7">
      <w:pPr>
        <w:pStyle w:val="af0"/>
        <w:spacing w:beforeLines="0" w:before="0" w:line="480" w:lineRule="exact"/>
        <w:rPr>
          <w:rFonts w:ascii="微軟正黑體" w:eastAsia="微軟正黑體" w:hAnsi="微軟正黑體"/>
          <w:sz w:val="36"/>
          <w:szCs w:val="36"/>
        </w:rPr>
      </w:pPr>
      <w:r w:rsidRPr="000273E7">
        <w:rPr>
          <w:rFonts w:ascii="微軟正黑體" w:eastAsia="微軟正黑體" w:hAnsi="微軟正黑體"/>
          <w:sz w:val="36"/>
          <w:szCs w:val="36"/>
        </w:rPr>
        <w:lastRenderedPageBreak/>
        <w:t>高齡者之認知年齡、認知需求與</w:t>
      </w:r>
      <w:r w:rsidR="000273E7">
        <w:rPr>
          <w:rFonts w:ascii="微軟正黑體" w:eastAsia="微軟正黑體" w:hAnsi="微軟正黑體"/>
          <w:sz w:val="36"/>
          <w:szCs w:val="36"/>
        </w:rPr>
        <w:br/>
      </w:r>
      <w:r w:rsidRPr="000273E7">
        <w:rPr>
          <w:rFonts w:ascii="微軟正黑體" w:eastAsia="微軟正黑體" w:hAnsi="微軟正黑體"/>
          <w:sz w:val="36"/>
          <w:szCs w:val="36"/>
        </w:rPr>
        <w:t>廣告效果之關係</w:t>
      </w:r>
    </w:p>
    <w:p w:rsidR="0084322C" w:rsidRPr="0004087C" w:rsidRDefault="0084322C" w:rsidP="008E483E">
      <w:pPr>
        <w:pStyle w:val="af1"/>
        <w:spacing w:afterLines="20" w:after="72" w:line="360" w:lineRule="exact"/>
        <w:rPr>
          <w:rFonts w:ascii="微軟正黑體" w:eastAsia="微軟正黑體" w:hAnsi="微軟正黑體"/>
        </w:rPr>
      </w:pPr>
      <w:r w:rsidRPr="0004087C">
        <w:rPr>
          <w:rFonts w:ascii="微軟正黑體" w:eastAsia="微軟正黑體" w:hAnsi="微軟正黑體"/>
        </w:rPr>
        <w:t>余淑吟* 林品章**</w:t>
      </w:r>
    </w:p>
    <w:p w:rsidR="00BB7FDE" w:rsidRPr="0004087C" w:rsidRDefault="0084322C" w:rsidP="00BC5F55">
      <w:pPr>
        <w:pStyle w:val="af2"/>
        <w:rPr>
          <w:rFonts w:ascii="微軟正黑體" w:eastAsia="微軟正黑體" w:hAnsi="微軟正黑體"/>
        </w:rPr>
      </w:pPr>
      <w:r w:rsidRPr="0004087C">
        <w:rPr>
          <w:rFonts w:ascii="微軟正黑體" w:eastAsia="微軟正黑體" w:hAnsi="微軟正黑體"/>
        </w:rPr>
        <w:t>*銘傳大學商業設計系</w:t>
      </w:r>
    </w:p>
    <w:p w:rsidR="0084322C" w:rsidRPr="0004087C" w:rsidRDefault="0084322C" w:rsidP="00BC5F55">
      <w:pPr>
        <w:pStyle w:val="af2"/>
        <w:rPr>
          <w:rFonts w:ascii="微軟正黑體" w:eastAsia="微軟正黑體" w:hAnsi="微軟正黑體"/>
        </w:rPr>
      </w:pPr>
      <w:r w:rsidRPr="0004087C">
        <w:rPr>
          <w:rFonts w:ascii="微軟正黑體" w:eastAsia="微軟正黑體" w:hAnsi="微軟正黑體"/>
        </w:rPr>
        <w:t>**銘傳大學數位媒體設計系</w:t>
      </w:r>
    </w:p>
    <w:p w:rsidR="000B39E8" w:rsidRPr="0004087C" w:rsidRDefault="000B39E8" w:rsidP="0084322C">
      <w:pPr>
        <w:jc w:val="center"/>
        <w:rPr>
          <w:rFonts w:ascii="微軟正黑體" w:eastAsia="微軟正黑體" w:hAnsi="微軟正黑體" w:cs="Times New Roman"/>
          <w:kern w:val="0"/>
          <w:sz w:val="18"/>
          <w:szCs w:val="18"/>
        </w:rPr>
      </w:pPr>
    </w:p>
    <w:p w:rsidR="0084322C" w:rsidRPr="00CC27FA" w:rsidRDefault="0084322C" w:rsidP="00CC27FA">
      <w:pPr>
        <w:pStyle w:val="af3"/>
        <w:spacing w:beforeLines="150" w:before="540" w:line="400" w:lineRule="exact"/>
        <w:rPr>
          <w:rFonts w:ascii="微軟正黑體" w:eastAsia="微軟正黑體" w:hAnsi="微軟正黑體"/>
          <w:sz w:val="30"/>
          <w:szCs w:val="30"/>
        </w:rPr>
      </w:pPr>
      <w:r w:rsidRPr="00CC27FA">
        <w:rPr>
          <w:rFonts w:ascii="微軟正黑體" w:eastAsia="微軟正黑體" w:hAnsi="微軟正黑體"/>
          <w:sz w:val="30"/>
          <w:szCs w:val="30"/>
        </w:rPr>
        <w:t>摘要</w:t>
      </w:r>
    </w:p>
    <w:p w:rsidR="0084322C" w:rsidRPr="00EB7647" w:rsidRDefault="0084322C" w:rsidP="00C51F9A">
      <w:pPr>
        <w:pStyle w:val="af4"/>
        <w:ind w:rightChars="0" w:right="0" w:firstLineChars="200" w:firstLine="400"/>
        <w:rPr>
          <w:rFonts w:asciiTheme="majorEastAsia" w:eastAsiaTheme="majorEastAsia" w:hAnsiTheme="majorEastAsia"/>
          <w:sz w:val="20"/>
          <w:szCs w:val="20"/>
        </w:rPr>
      </w:pPr>
      <w:r w:rsidRPr="00EB7647">
        <w:rPr>
          <w:rFonts w:asciiTheme="majorEastAsia" w:eastAsiaTheme="majorEastAsia" w:hAnsiTheme="majorEastAsia"/>
          <w:sz w:val="20"/>
          <w:szCs w:val="20"/>
        </w:rPr>
        <w:t>世界高齡人口的驟增，提升了高齡市場的商機與重要性，近年來國內雖然累積了老人學的研究與調查，但是多受限於醫療養護與社會福利的範疇。本研究基於了解高齡者的認知心理作為行銷溝通的參考依據，進行以高齡者對自我知覺反應的認知年齡以及訊息思考程度的認知需求兩項調查，藉此了解高齡者閱讀廣告時的溝通效果。</w:t>
      </w:r>
      <w:r w:rsidR="0042585C" w:rsidRPr="00EB7647">
        <w:rPr>
          <w:rFonts w:asciiTheme="majorEastAsia" w:eastAsiaTheme="majorEastAsia" w:hAnsiTheme="majorEastAsia" w:hint="eastAsia"/>
          <w:sz w:val="20"/>
          <w:szCs w:val="20"/>
        </w:rPr>
        <w:t>本</w:t>
      </w:r>
      <w:r w:rsidRPr="00EB7647">
        <w:rPr>
          <w:rFonts w:asciiTheme="majorEastAsia" w:eastAsiaTheme="majorEastAsia" w:hAnsiTheme="majorEastAsia"/>
          <w:sz w:val="20"/>
          <w:szCs w:val="20"/>
        </w:rPr>
        <w:t>研究</w:t>
      </w:r>
      <w:r w:rsidR="0042585C" w:rsidRPr="00EB7647">
        <w:rPr>
          <w:rFonts w:asciiTheme="majorEastAsia" w:eastAsiaTheme="majorEastAsia" w:hAnsiTheme="majorEastAsia" w:hint="eastAsia"/>
          <w:sz w:val="20"/>
          <w:szCs w:val="20"/>
        </w:rPr>
        <w:t>的規劃上共</w:t>
      </w:r>
      <w:r w:rsidRPr="00EB7647">
        <w:rPr>
          <w:rFonts w:asciiTheme="majorEastAsia" w:eastAsiaTheme="majorEastAsia" w:hAnsiTheme="majorEastAsia"/>
          <w:sz w:val="20"/>
          <w:szCs w:val="20"/>
        </w:rPr>
        <w:t>分為兩大部分，第一部份是高齡者之認知年齡與認知需求的量表調查。第二部份是高齡者閱讀廣告樣本後在認知、情感與行動等三效果階層的調查。</w:t>
      </w:r>
    </w:p>
    <w:p w:rsidR="0020224C" w:rsidRPr="00EB7647" w:rsidRDefault="0020224C" w:rsidP="000273E7">
      <w:pPr>
        <w:pStyle w:val="af5"/>
        <w:rPr>
          <w:rFonts w:asciiTheme="majorEastAsia" w:eastAsiaTheme="majorEastAsia" w:hAnsiTheme="majorEastAsia"/>
          <w:sz w:val="20"/>
          <w:szCs w:val="20"/>
        </w:rPr>
      </w:pPr>
    </w:p>
    <w:p w:rsidR="0084322C" w:rsidRPr="00EB7647" w:rsidRDefault="0084322C" w:rsidP="00BC5F55">
      <w:pPr>
        <w:pStyle w:val="af5"/>
        <w:rPr>
          <w:rFonts w:asciiTheme="majorEastAsia" w:eastAsiaTheme="majorEastAsia" w:hAnsiTheme="majorEastAsia"/>
          <w:sz w:val="20"/>
          <w:szCs w:val="20"/>
        </w:rPr>
      </w:pPr>
      <w:r w:rsidRPr="00EB7647">
        <w:rPr>
          <w:rFonts w:asciiTheme="majorEastAsia" w:eastAsiaTheme="majorEastAsia" w:hAnsiTheme="majorEastAsia"/>
          <w:sz w:val="20"/>
          <w:szCs w:val="20"/>
        </w:rPr>
        <w:t>關鍵字：高齡者、廣告效果、認知年齡、認知需求</w:t>
      </w:r>
    </w:p>
    <w:p w:rsidR="0020224C" w:rsidRPr="00CC27FA" w:rsidRDefault="00C51F9A" w:rsidP="00CC27FA">
      <w:pPr>
        <w:pStyle w:val="af3"/>
        <w:spacing w:beforeLines="150" w:before="540" w:line="400" w:lineRule="exact"/>
        <w:rPr>
          <w:rFonts w:ascii="微軟正黑體" w:eastAsia="微軟正黑體" w:hAnsi="微軟正黑體"/>
          <w:sz w:val="30"/>
          <w:szCs w:val="30"/>
        </w:rPr>
      </w:pPr>
      <w:r w:rsidRPr="00CC27FA">
        <w:rPr>
          <w:rFonts w:ascii="微軟正黑體" w:eastAsia="微軟正黑體" w:hAnsi="微軟正黑體" w:hint="eastAsia"/>
          <w:sz w:val="30"/>
          <w:szCs w:val="30"/>
        </w:rPr>
        <w:t>壹</w:t>
      </w:r>
      <w:r w:rsidR="000273E7" w:rsidRPr="00CC27FA">
        <w:rPr>
          <w:rFonts w:ascii="微軟正黑體" w:eastAsia="微軟正黑體" w:hAnsi="微軟正黑體" w:hint="eastAsia"/>
          <w:sz w:val="30"/>
          <w:szCs w:val="30"/>
        </w:rPr>
        <w:t>、</w:t>
      </w:r>
      <w:r w:rsidR="0084322C" w:rsidRPr="00CC27FA">
        <w:rPr>
          <w:rFonts w:ascii="微軟正黑體" w:eastAsia="微軟正黑體" w:hAnsi="微軟正黑體"/>
          <w:sz w:val="30"/>
          <w:szCs w:val="30"/>
        </w:rPr>
        <w:t>前言</w:t>
      </w:r>
    </w:p>
    <w:p w:rsidR="008024B1" w:rsidRPr="000273E7" w:rsidRDefault="00C51F9A" w:rsidP="00CC27FA">
      <w:pPr>
        <w:pStyle w:val="af3"/>
        <w:spacing w:beforeLines="100" w:before="360" w:line="360" w:lineRule="exact"/>
        <w:rPr>
          <w:rFonts w:ascii="微軟正黑體" w:eastAsia="微軟正黑體" w:hAnsi="微軟正黑體"/>
        </w:rPr>
      </w:pPr>
      <w:r>
        <w:rPr>
          <w:rFonts w:ascii="微軟正黑體" w:eastAsia="微軟正黑體" w:hAnsi="微軟正黑體" w:hint="eastAsia"/>
        </w:rPr>
        <w:t>一、</w:t>
      </w:r>
      <w:r w:rsidR="008024B1" w:rsidRPr="000273E7">
        <w:rPr>
          <w:rFonts w:ascii="微軟正黑體" w:eastAsia="微軟正黑體" w:hAnsi="微軟正黑體" w:hint="eastAsia"/>
        </w:rPr>
        <w:t>研究背景與動機</w:t>
      </w:r>
    </w:p>
    <w:p w:rsidR="0042585C" w:rsidRDefault="0084322C" w:rsidP="00C51F9A">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根據台灣行政院經建會的統</w:t>
      </w:r>
      <w:bookmarkStart w:id="0" w:name="_GoBack"/>
      <w:bookmarkEnd w:id="0"/>
      <w:r w:rsidRPr="00C51F9A">
        <w:rPr>
          <w:rFonts w:ascii="Times New Roman" w:eastAsiaTheme="majorEastAsia" w:hAnsi="Times New Roman" w:cs="Times New Roman"/>
          <w:sz w:val="22"/>
        </w:rPr>
        <w:t>計資料，年齡介於</w:t>
      </w:r>
      <w:r w:rsidRPr="00C51F9A">
        <w:rPr>
          <w:rFonts w:ascii="Times New Roman" w:eastAsiaTheme="majorEastAsia" w:hAnsi="Times New Roman" w:cs="Times New Roman"/>
          <w:sz w:val="22"/>
        </w:rPr>
        <w:t>45-64</w:t>
      </w:r>
      <w:r w:rsidRPr="00C51F9A">
        <w:rPr>
          <w:rFonts w:ascii="Times New Roman" w:eastAsiaTheme="majorEastAsia" w:hAnsi="Times New Roman" w:cs="Times New Roman"/>
          <w:sz w:val="22"/>
        </w:rPr>
        <w:t>歲之高齡前期人口，約佔有總人口的</w:t>
      </w:r>
      <w:r w:rsidRPr="00C51F9A">
        <w:rPr>
          <w:rFonts w:ascii="Times New Roman" w:eastAsiaTheme="majorEastAsia" w:hAnsi="Times New Roman" w:cs="Times New Roman"/>
          <w:sz w:val="22"/>
        </w:rPr>
        <w:t>30</w:t>
      </w:r>
      <w:r w:rsidRPr="00C51F9A">
        <w:rPr>
          <w:rFonts w:ascii="Times New Roman" w:eastAsiaTheme="majorEastAsia" w:hAnsi="Times New Roman" w:cs="Times New Roman"/>
          <w:sz w:val="22"/>
        </w:rPr>
        <w:t>％，預估到了</w:t>
      </w:r>
      <w:r w:rsidRPr="00C51F9A">
        <w:rPr>
          <w:rFonts w:ascii="Times New Roman" w:eastAsiaTheme="majorEastAsia" w:hAnsi="Times New Roman" w:cs="Times New Roman"/>
          <w:sz w:val="22"/>
        </w:rPr>
        <w:t>2026</w:t>
      </w:r>
      <w:r w:rsidRPr="00C51F9A">
        <w:rPr>
          <w:rFonts w:ascii="Times New Roman" w:eastAsiaTheme="majorEastAsia" w:hAnsi="Times New Roman" w:cs="Times New Roman"/>
          <w:sz w:val="22"/>
        </w:rPr>
        <w:t>年則更攀升至</w:t>
      </w:r>
      <w:r w:rsidRPr="00C51F9A">
        <w:rPr>
          <w:rFonts w:ascii="Times New Roman" w:eastAsiaTheme="majorEastAsia" w:hAnsi="Times New Roman" w:cs="Times New Roman"/>
          <w:sz w:val="22"/>
        </w:rPr>
        <w:t>45</w:t>
      </w:r>
      <w:r w:rsidRPr="00C51F9A">
        <w:rPr>
          <w:rFonts w:ascii="Times New Roman" w:eastAsiaTheme="majorEastAsia" w:hAnsi="Times New Roman" w:cs="Times New Roman"/>
          <w:sz w:val="22"/>
        </w:rPr>
        <w:t>％，也是近台灣總人口的一半。</w:t>
      </w:r>
    </w:p>
    <w:p w:rsidR="00CC27FA" w:rsidRPr="000273E7" w:rsidRDefault="00CC27FA" w:rsidP="00CC27FA">
      <w:pPr>
        <w:pStyle w:val="af3"/>
        <w:spacing w:beforeLines="100" w:before="360" w:line="360" w:lineRule="exact"/>
        <w:rPr>
          <w:rFonts w:ascii="微軟正黑體" w:eastAsia="微軟正黑體" w:hAnsi="微軟正黑體"/>
        </w:rPr>
      </w:pPr>
      <w:r>
        <w:rPr>
          <w:rFonts w:ascii="微軟正黑體" w:eastAsia="微軟正黑體" w:hAnsi="微軟正黑體" w:hint="eastAsia"/>
        </w:rPr>
        <w:t>二</w:t>
      </w:r>
      <w:r>
        <w:rPr>
          <w:rFonts w:ascii="微軟正黑體" w:eastAsia="微軟正黑體" w:hAnsi="微軟正黑體" w:hint="eastAsia"/>
        </w:rPr>
        <w:t>、</w:t>
      </w:r>
      <w:r w:rsidRPr="000273E7">
        <w:rPr>
          <w:rFonts w:ascii="微軟正黑體" w:eastAsia="微軟正黑體" w:hAnsi="微軟正黑體" w:hint="eastAsia"/>
        </w:rPr>
        <w:t>研究</w:t>
      </w:r>
      <w:r>
        <w:rPr>
          <w:rFonts w:ascii="微軟正黑體" w:eastAsia="微軟正黑體" w:hAnsi="微軟正黑體" w:hint="eastAsia"/>
        </w:rPr>
        <w:t>目</w:t>
      </w:r>
      <w:r w:rsidR="001C246E">
        <w:rPr>
          <w:rFonts w:ascii="微軟正黑體" w:eastAsia="微軟正黑體" w:hAnsi="微軟正黑體" w:hint="eastAsia"/>
        </w:rPr>
        <w:t>的</w:t>
      </w:r>
    </w:p>
    <w:p w:rsidR="0084322C" w:rsidRPr="00C51F9A" w:rsidRDefault="0084322C" w:rsidP="00C51F9A">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高齡化不再只是年齡的過程而已，而是世界社會人口結構的現象，也是各國必須共同面對的重要課題。</w:t>
      </w:r>
      <w:r w:rsidR="0042585C">
        <w:rPr>
          <w:rFonts w:ascii="Times New Roman" w:eastAsiaTheme="majorEastAsia" w:hAnsi="Times New Roman" w:cs="Times New Roman" w:hint="eastAsia"/>
          <w:sz w:val="22"/>
        </w:rPr>
        <w:t>因此</w:t>
      </w:r>
      <w:r w:rsidR="0042585C" w:rsidRPr="0042585C">
        <w:rPr>
          <w:rFonts w:ascii="Times New Roman" w:eastAsiaTheme="majorEastAsia" w:hAnsi="Times New Roman" w:cs="Times New Roman" w:hint="eastAsia"/>
          <w:sz w:val="22"/>
        </w:rPr>
        <w:t>本研究基於了解高齡者的認知心理</w:t>
      </w:r>
      <w:r w:rsidR="0042585C">
        <w:rPr>
          <w:rFonts w:ascii="Times New Roman" w:eastAsiaTheme="majorEastAsia" w:hAnsi="Times New Roman" w:cs="Times New Roman" w:hint="eastAsia"/>
          <w:sz w:val="22"/>
        </w:rPr>
        <w:t>，</w:t>
      </w:r>
      <w:r w:rsidR="0042585C" w:rsidRPr="0042585C">
        <w:rPr>
          <w:rFonts w:ascii="Times New Roman" w:eastAsiaTheme="majorEastAsia" w:hAnsi="Times New Roman" w:cs="Times New Roman" w:hint="eastAsia"/>
          <w:sz w:val="22"/>
        </w:rPr>
        <w:t>作為行銷溝通的參考</w:t>
      </w:r>
      <w:r w:rsidR="0042585C" w:rsidRPr="0042585C">
        <w:rPr>
          <w:rFonts w:ascii="Times New Roman" w:eastAsiaTheme="majorEastAsia" w:hAnsi="Times New Roman" w:cs="Times New Roman" w:hint="eastAsia"/>
          <w:sz w:val="22"/>
        </w:rPr>
        <w:lastRenderedPageBreak/>
        <w:t>依據，進行以高齡者對自我知覺反應的認知年齡以及訊息思考程度的認知需求兩項調查，藉此了解高齡者閱讀廣告時的溝通效果。</w:t>
      </w:r>
    </w:p>
    <w:p w:rsidR="008024B1" w:rsidRPr="00CC27FA" w:rsidRDefault="00C51F9A" w:rsidP="00CC27FA">
      <w:pPr>
        <w:pStyle w:val="af3"/>
        <w:spacing w:beforeLines="150" w:before="540" w:line="400" w:lineRule="exact"/>
        <w:rPr>
          <w:rFonts w:ascii="微軟正黑體" w:eastAsia="微軟正黑體" w:hAnsi="微軟正黑體"/>
          <w:sz w:val="30"/>
          <w:szCs w:val="30"/>
        </w:rPr>
      </w:pPr>
      <w:r w:rsidRPr="00CC27FA">
        <w:rPr>
          <w:rFonts w:ascii="微軟正黑體" w:eastAsia="微軟正黑體" w:hAnsi="微軟正黑體" w:hint="eastAsia"/>
          <w:sz w:val="30"/>
          <w:szCs w:val="30"/>
        </w:rPr>
        <w:t>貳</w:t>
      </w:r>
      <w:r w:rsidR="008024B1" w:rsidRPr="00CC27FA">
        <w:rPr>
          <w:rFonts w:ascii="微軟正黑體" w:eastAsia="微軟正黑體" w:hAnsi="微軟正黑體"/>
          <w:sz w:val="30"/>
          <w:szCs w:val="30"/>
        </w:rPr>
        <w:t>、文獻探討</w:t>
      </w:r>
    </w:p>
    <w:p w:rsidR="008024B1" w:rsidRPr="000273E7" w:rsidRDefault="00C51F9A" w:rsidP="001C246E">
      <w:pPr>
        <w:pStyle w:val="af3"/>
        <w:spacing w:beforeLines="100" w:before="360" w:line="360" w:lineRule="exact"/>
        <w:rPr>
          <w:rFonts w:ascii="微軟正黑體" w:eastAsia="微軟正黑體" w:hAnsi="微軟正黑體"/>
        </w:rPr>
      </w:pPr>
      <w:r>
        <w:rPr>
          <w:rFonts w:ascii="微軟正黑體" w:eastAsia="微軟正黑體" w:hAnsi="微軟正黑體" w:hint="eastAsia"/>
        </w:rPr>
        <w:t>一、</w:t>
      </w:r>
      <w:r w:rsidR="008024B1" w:rsidRPr="000273E7">
        <w:rPr>
          <w:rFonts w:ascii="微軟正黑體" w:eastAsia="微軟正黑體" w:hAnsi="微軟正黑體"/>
        </w:rPr>
        <w:t>高齡者</w:t>
      </w:r>
    </w:p>
    <w:p w:rsidR="009D5976" w:rsidRPr="00C51F9A" w:rsidRDefault="009D5976" w:rsidP="009D5976">
      <w:pPr>
        <w:pStyle w:val="1"/>
        <w:spacing w:afterLines="25" w:after="90" w:line="360" w:lineRule="exact"/>
        <w:rPr>
          <w:rFonts w:ascii="微軟正黑體" w:eastAsia="微軟正黑體" w:hAnsi="微軟正黑體"/>
        </w:rPr>
      </w:pPr>
      <w:r>
        <w:rPr>
          <w:rFonts w:ascii="微軟正黑體" w:eastAsia="微軟正黑體" w:hAnsi="微軟正黑體" w:hint="eastAsia"/>
        </w:rPr>
        <w:t>(一)</w:t>
      </w:r>
      <w:r>
        <w:rPr>
          <w:rFonts w:ascii="微軟正黑體" w:eastAsia="微軟正黑體" w:hAnsi="微軟正黑體"/>
        </w:rPr>
        <w:t xml:space="preserve"> </w:t>
      </w:r>
      <w:r w:rsidRPr="00C51F9A">
        <w:rPr>
          <w:rFonts w:ascii="微軟正黑體" w:eastAsia="微軟正黑體" w:hAnsi="微軟正黑體"/>
        </w:rPr>
        <w:t>高齡者的消費行為</w:t>
      </w:r>
    </w:p>
    <w:p w:rsidR="009D5976" w:rsidRDefault="006B299E" w:rsidP="009D5976">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歲以上的長者，內政部則明文定義</w:t>
      </w:r>
      <w:r w:rsidRPr="00C51F9A">
        <w:rPr>
          <w:rFonts w:ascii="Times New Roman" w:eastAsiaTheme="majorEastAsia" w:hAnsi="Times New Roman" w:cs="Times New Roman"/>
          <w:sz w:val="22"/>
        </w:rPr>
        <w:t>65</w:t>
      </w:r>
      <w:r w:rsidRPr="00C51F9A">
        <w:rPr>
          <w:rFonts w:ascii="Times New Roman" w:eastAsiaTheme="majorEastAsia" w:hAnsi="Times New Roman" w:cs="Times New Roman"/>
          <w:sz w:val="22"/>
        </w:rPr>
        <w:t>歲以上之人稱為高齡者，而老人社會福利更細分為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w:t>
      </w:r>
      <w:r w:rsidR="00933DBF" w:rsidRPr="00C51F9A">
        <w:rPr>
          <w:rFonts w:ascii="Times New Roman" w:eastAsiaTheme="majorEastAsia" w:hAnsi="Times New Roman" w:cs="Times New Roman"/>
          <w:sz w:val="22"/>
        </w:rPr>
        <w:t>以上</w:t>
      </w:r>
      <w:r w:rsidRPr="00C51F9A">
        <w:rPr>
          <w:rFonts w:ascii="Times New Roman" w:eastAsiaTheme="majorEastAsia" w:hAnsi="Times New Roman" w:cs="Times New Roman"/>
          <w:sz w:val="22"/>
        </w:rPr>
        <w:t>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w:t>
      </w:r>
      <w:r w:rsidR="009D5976" w:rsidRPr="00C51F9A">
        <w:rPr>
          <w:rFonts w:ascii="Times New Roman" w:eastAsiaTheme="majorEastAsia" w:hAnsi="Times New Roman" w:cs="Times New Roman"/>
          <w:sz w:val="22"/>
        </w:rPr>
        <w:t>世界各國因社會制度與國情的差異，對於「老年」有著不同的生理年齡與定義。台灣老年學的調查泛指</w:t>
      </w:r>
      <w:r w:rsidR="009D5976" w:rsidRPr="00C51F9A">
        <w:rPr>
          <w:rFonts w:ascii="Times New Roman" w:eastAsiaTheme="majorEastAsia" w:hAnsi="Times New Roman" w:cs="Times New Roman"/>
          <w:sz w:val="22"/>
        </w:rPr>
        <w:t xml:space="preserve">60 </w:t>
      </w:r>
      <w:r w:rsidR="009D5976" w:rsidRPr="00C51F9A">
        <w:rPr>
          <w:rFonts w:ascii="Times New Roman" w:eastAsiaTheme="majorEastAsia" w:hAnsi="Times New Roman" w:cs="Times New Roman"/>
          <w:sz w:val="22"/>
        </w:rPr>
        <w:t>歲以上的長者，內政部則明文定義</w:t>
      </w:r>
      <w:r w:rsidR="009D5976" w:rsidRPr="00C51F9A">
        <w:rPr>
          <w:rFonts w:ascii="Times New Roman" w:eastAsiaTheme="majorEastAsia" w:hAnsi="Times New Roman" w:cs="Times New Roman"/>
          <w:sz w:val="22"/>
        </w:rPr>
        <w:t>65</w:t>
      </w:r>
      <w:r w:rsidR="009D5976" w:rsidRPr="00C51F9A">
        <w:rPr>
          <w:rFonts w:ascii="Times New Roman" w:eastAsiaTheme="majorEastAsia" w:hAnsi="Times New Roman" w:cs="Times New Roman"/>
          <w:sz w:val="22"/>
        </w:rPr>
        <w:t>歲以上之人稱為高齡者，而老人社會福利更細分為</w:t>
      </w:r>
      <w:r w:rsidR="009D5976" w:rsidRPr="00C51F9A">
        <w:rPr>
          <w:rFonts w:ascii="Times New Roman" w:eastAsiaTheme="majorEastAsia" w:hAnsi="Times New Roman" w:cs="Times New Roman"/>
          <w:sz w:val="22"/>
        </w:rPr>
        <w:t>45-54</w:t>
      </w:r>
      <w:r w:rsidR="009D5976" w:rsidRPr="00C51F9A">
        <w:rPr>
          <w:rFonts w:ascii="Times New Roman" w:eastAsiaTheme="majorEastAsia" w:hAnsi="Times New Roman" w:cs="Times New Roman"/>
          <w:sz w:val="22"/>
        </w:rPr>
        <w:t>歲為高齡（中年）前期、</w:t>
      </w:r>
      <w:r w:rsidR="009D5976" w:rsidRPr="00C51F9A">
        <w:rPr>
          <w:rFonts w:ascii="Times New Roman" w:eastAsiaTheme="majorEastAsia" w:hAnsi="Times New Roman" w:cs="Times New Roman"/>
          <w:sz w:val="22"/>
        </w:rPr>
        <w:t>55-64</w:t>
      </w:r>
      <w:r w:rsidR="009D5976" w:rsidRPr="00C51F9A">
        <w:rPr>
          <w:rFonts w:ascii="Times New Roman" w:eastAsiaTheme="majorEastAsia" w:hAnsi="Times New Roman" w:cs="Times New Roman"/>
          <w:sz w:val="22"/>
        </w:rPr>
        <w:t>歲為高齡（老年）初期、</w:t>
      </w:r>
      <w:r w:rsidR="009D5976" w:rsidRPr="00C51F9A">
        <w:rPr>
          <w:rFonts w:ascii="Times New Roman" w:eastAsiaTheme="majorEastAsia" w:hAnsi="Times New Roman" w:cs="Times New Roman"/>
          <w:sz w:val="22"/>
        </w:rPr>
        <w:t>65-79</w:t>
      </w:r>
      <w:r w:rsidR="009D5976" w:rsidRPr="00C51F9A">
        <w:rPr>
          <w:rFonts w:ascii="Times New Roman" w:eastAsiaTheme="majorEastAsia" w:hAnsi="Times New Roman" w:cs="Times New Roman"/>
          <w:sz w:val="22"/>
        </w:rPr>
        <w:t>歲為高齡中期，以及</w:t>
      </w:r>
      <w:r w:rsidR="009D5976" w:rsidRPr="00C51F9A">
        <w:rPr>
          <w:rFonts w:ascii="Times New Roman" w:eastAsiaTheme="majorEastAsia" w:hAnsi="Times New Roman" w:cs="Times New Roman"/>
          <w:sz w:val="22"/>
        </w:rPr>
        <w:t>80</w:t>
      </w:r>
      <w:r w:rsidR="009D5976" w:rsidRPr="00C51F9A">
        <w:rPr>
          <w:rFonts w:ascii="Times New Roman" w:eastAsiaTheme="majorEastAsia" w:hAnsi="Times New Roman" w:cs="Times New Roman"/>
          <w:sz w:val="22"/>
        </w:rPr>
        <w:t>歲以上為高齡後期（江亮演，</w:t>
      </w:r>
      <w:r w:rsidR="009D5976" w:rsidRPr="00C51F9A">
        <w:rPr>
          <w:rFonts w:ascii="Times New Roman" w:eastAsiaTheme="majorEastAsia" w:hAnsi="Times New Roman" w:cs="Times New Roman"/>
          <w:sz w:val="22"/>
        </w:rPr>
        <w:t>2009</w:t>
      </w:r>
      <w:r w:rsidR="009D5976" w:rsidRPr="00C51F9A">
        <w:rPr>
          <w:rFonts w:ascii="Times New Roman" w:eastAsiaTheme="majorEastAsia" w:hAnsi="Times New Roman" w:cs="Times New Roman"/>
          <w:sz w:val="22"/>
        </w:rPr>
        <w:t>）。</w:t>
      </w:r>
    </w:p>
    <w:p w:rsidR="009D5976" w:rsidRDefault="009D5976" w:rsidP="009D5976">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歲以上的長者，內政部則明文定義</w:t>
      </w:r>
      <w:r w:rsidRPr="00C51F9A">
        <w:rPr>
          <w:rFonts w:ascii="Times New Roman" w:eastAsiaTheme="majorEastAsia" w:hAnsi="Times New Roman" w:cs="Times New Roman"/>
          <w:sz w:val="22"/>
        </w:rPr>
        <w:t>65</w:t>
      </w:r>
      <w:r w:rsidRPr="00C51F9A">
        <w:rPr>
          <w:rFonts w:ascii="Times New Roman" w:eastAsiaTheme="majorEastAsia" w:hAnsi="Times New Roman" w:cs="Times New Roman"/>
          <w:sz w:val="22"/>
        </w:rPr>
        <w:t>歲以上之人稱為高齡者，而老人社會福利更細分為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歲以上為高齡後期（江亮演，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歲以上的長者，內政部則明文定義</w:t>
      </w:r>
      <w:r w:rsidRPr="00C51F9A">
        <w:rPr>
          <w:rFonts w:ascii="Times New Roman" w:eastAsiaTheme="majorEastAsia" w:hAnsi="Times New Roman" w:cs="Times New Roman"/>
          <w:sz w:val="22"/>
        </w:rPr>
        <w:t>65</w:t>
      </w:r>
      <w:r w:rsidRPr="00C51F9A">
        <w:rPr>
          <w:rFonts w:ascii="Times New Roman" w:eastAsiaTheme="majorEastAsia" w:hAnsi="Times New Roman" w:cs="Times New Roman"/>
          <w:sz w:val="22"/>
        </w:rPr>
        <w:t>歲以上之人稱為高齡者，而老人社會福利更細分為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歲以上為高齡後期（江亮演，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w:t>
      </w:r>
    </w:p>
    <w:p w:rsidR="009D5976" w:rsidRDefault="009D5976" w:rsidP="009D5976">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歲以上的長者，內政部則明文定義</w:t>
      </w:r>
      <w:r w:rsidRPr="00C51F9A">
        <w:rPr>
          <w:rFonts w:ascii="Times New Roman" w:eastAsiaTheme="majorEastAsia" w:hAnsi="Times New Roman" w:cs="Times New Roman"/>
          <w:sz w:val="22"/>
        </w:rPr>
        <w:t>65</w:t>
      </w:r>
      <w:r w:rsidRPr="00C51F9A">
        <w:rPr>
          <w:rFonts w:ascii="Times New Roman" w:eastAsiaTheme="majorEastAsia" w:hAnsi="Times New Roman" w:cs="Times New Roman"/>
          <w:sz w:val="22"/>
        </w:rPr>
        <w:t>歲以上之人稱為高齡者，而老人社會福利更細分為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歲以上為高齡後期（江亮演，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歲以上的長者，內政部則明文定義</w:t>
      </w:r>
      <w:r w:rsidRPr="00C51F9A">
        <w:rPr>
          <w:rFonts w:ascii="Times New Roman" w:eastAsiaTheme="majorEastAsia" w:hAnsi="Times New Roman" w:cs="Times New Roman"/>
          <w:sz w:val="22"/>
        </w:rPr>
        <w:t>65</w:t>
      </w:r>
      <w:r w:rsidRPr="00C51F9A">
        <w:rPr>
          <w:rFonts w:ascii="Times New Roman" w:eastAsiaTheme="majorEastAsia" w:hAnsi="Times New Roman" w:cs="Times New Roman"/>
          <w:sz w:val="22"/>
        </w:rPr>
        <w:t>歲以上之人稱為高齡者，而</w:t>
      </w:r>
      <w:r w:rsidRPr="00C51F9A">
        <w:rPr>
          <w:rFonts w:ascii="Times New Roman" w:eastAsiaTheme="majorEastAsia" w:hAnsi="Times New Roman" w:cs="Times New Roman"/>
          <w:sz w:val="22"/>
        </w:rPr>
        <w:lastRenderedPageBreak/>
        <w:t>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歲以上為高齡後期（江亮演，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w:t>
      </w:r>
    </w:p>
    <w:p w:rsidR="009D5976" w:rsidRDefault="009D5976" w:rsidP="009D5976">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世界各國因社會制度與國情的差異，對於「老年」有著不同的生理年齡與定義。台灣老年學的調查泛指</w:t>
      </w:r>
      <w:r w:rsidRPr="00C51F9A">
        <w:rPr>
          <w:rFonts w:ascii="Times New Roman" w:eastAsiaTheme="majorEastAsia" w:hAnsi="Times New Roman" w:cs="Times New Roman"/>
          <w:sz w:val="22"/>
        </w:rPr>
        <w:t xml:space="preserve">60 </w:t>
      </w:r>
      <w:r w:rsidRPr="00C51F9A">
        <w:rPr>
          <w:rFonts w:ascii="Times New Roman" w:eastAsiaTheme="majorEastAsia" w:hAnsi="Times New Roman" w:cs="Times New Roman"/>
          <w:sz w:val="22"/>
        </w:rPr>
        <w:t>歲以上的長者，</w:t>
      </w:r>
      <w:r w:rsidR="008E483E" w:rsidRPr="00C51F9A">
        <w:rPr>
          <w:rFonts w:ascii="Times New Roman" w:eastAsiaTheme="majorEastAsia" w:hAnsi="Times New Roman" w:cs="Times New Roman"/>
          <w:sz w:val="22"/>
        </w:rPr>
        <w:t>世界各國因</w:t>
      </w:r>
      <w:r w:rsidR="008E483E">
        <w:rPr>
          <w:rFonts w:ascii="Times New Roman" w:eastAsiaTheme="majorEastAsia" w:hAnsi="Times New Roman" w:cs="Times New Roman"/>
          <w:sz w:val="22"/>
        </w:rPr>
        <w:t>社會制度與國情的差異，對於「老年」有著不同的生理年齡與定義。</w:t>
      </w:r>
      <w:r w:rsidR="008E483E" w:rsidRPr="00C51F9A">
        <w:rPr>
          <w:rFonts w:ascii="Times New Roman" w:eastAsiaTheme="majorEastAsia" w:hAnsi="Times New Roman" w:cs="Times New Roman"/>
          <w:sz w:val="22"/>
        </w:rPr>
        <w:t>老年學的調查泛指</w:t>
      </w:r>
      <w:r w:rsidR="008E483E" w:rsidRPr="00C51F9A">
        <w:rPr>
          <w:rFonts w:ascii="Times New Roman" w:eastAsiaTheme="majorEastAsia" w:hAnsi="Times New Roman" w:cs="Times New Roman"/>
          <w:sz w:val="22"/>
        </w:rPr>
        <w:t xml:space="preserve">60 </w:t>
      </w:r>
      <w:r w:rsidR="008E483E" w:rsidRPr="00C51F9A">
        <w:rPr>
          <w:rFonts w:ascii="Times New Roman" w:eastAsiaTheme="majorEastAsia" w:hAnsi="Times New Roman" w:cs="Times New Roman"/>
          <w:sz w:val="22"/>
        </w:rPr>
        <w:t>歲以上的長者，</w:t>
      </w:r>
      <w:r w:rsidRPr="00C51F9A">
        <w:rPr>
          <w:rFonts w:ascii="Times New Roman" w:eastAsiaTheme="majorEastAsia" w:hAnsi="Times New Roman" w:cs="Times New Roman"/>
          <w:sz w:val="22"/>
        </w:rPr>
        <w:t>老人社會福利更細分為</w:t>
      </w:r>
      <w:r w:rsidRPr="00C51F9A">
        <w:rPr>
          <w:rFonts w:ascii="Times New Roman" w:eastAsiaTheme="majorEastAsia" w:hAnsi="Times New Roman" w:cs="Times New Roman"/>
          <w:sz w:val="22"/>
        </w:rPr>
        <w:t>45-54</w:t>
      </w:r>
      <w:r w:rsidRPr="00C51F9A">
        <w:rPr>
          <w:rFonts w:ascii="Times New Roman" w:eastAsiaTheme="majorEastAsia" w:hAnsi="Times New Roman" w:cs="Times New Roman"/>
          <w:sz w:val="22"/>
        </w:rPr>
        <w:t>歲為高齡（中年）前期、</w:t>
      </w:r>
      <w:r w:rsidRPr="00C51F9A">
        <w:rPr>
          <w:rFonts w:ascii="Times New Roman" w:eastAsiaTheme="majorEastAsia" w:hAnsi="Times New Roman" w:cs="Times New Roman"/>
          <w:sz w:val="22"/>
        </w:rPr>
        <w:t>55-64</w:t>
      </w:r>
      <w:r w:rsidRPr="00C51F9A">
        <w:rPr>
          <w:rFonts w:ascii="Times New Roman" w:eastAsiaTheme="majorEastAsia" w:hAnsi="Times New Roman" w:cs="Times New Roman"/>
          <w:sz w:val="22"/>
        </w:rPr>
        <w:t>歲為高齡（老年）初期、</w:t>
      </w:r>
      <w:r w:rsidRPr="00C51F9A">
        <w:rPr>
          <w:rFonts w:ascii="Times New Roman" w:eastAsiaTheme="majorEastAsia" w:hAnsi="Times New Roman" w:cs="Times New Roman"/>
          <w:sz w:val="22"/>
        </w:rPr>
        <w:t>65-79</w:t>
      </w:r>
      <w:r w:rsidRPr="00C51F9A">
        <w:rPr>
          <w:rFonts w:ascii="Times New Roman" w:eastAsiaTheme="majorEastAsia" w:hAnsi="Times New Roman" w:cs="Times New Roman"/>
          <w:sz w:val="22"/>
        </w:rPr>
        <w:t>歲為高齡中期，以及</w:t>
      </w:r>
      <w:r w:rsidRPr="00C51F9A">
        <w:rPr>
          <w:rFonts w:ascii="Times New Roman" w:eastAsiaTheme="majorEastAsia" w:hAnsi="Times New Roman" w:cs="Times New Roman"/>
          <w:sz w:val="22"/>
        </w:rPr>
        <w:t>80</w:t>
      </w:r>
      <w:r w:rsidRPr="00C51F9A">
        <w:rPr>
          <w:rFonts w:ascii="Times New Roman" w:eastAsiaTheme="majorEastAsia" w:hAnsi="Times New Roman" w:cs="Times New Roman"/>
          <w:sz w:val="22"/>
        </w:rPr>
        <w:t>歲以上為高齡後期（江亮演，</w:t>
      </w:r>
      <w:r w:rsidRPr="00C51F9A">
        <w:rPr>
          <w:rFonts w:ascii="Times New Roman" w:eastAsiaTheme="majorEastAsia" w:hAnsi="Times New Roman" w:cs="Times New Roman"/>
          <w:sz w:val="22"/>
        </w:rPr>
        <w:t>2009</w:t>
      </w:r>
      <w:r w:rsidRPr="00C51F9A">
        <w:rPr>
          <w:rFonts w:ascii="Times New Roman" w:eastAsiaTheme="majorEastAsia" w:hAnsi="Times New Roman" w:cs="Times New Roman"/>
          <w:sz w:val="22"/>
        </w:rPr>
        <w:t>）。</w:t>
      </w:r>
    </w:p>
    <w:p w:rsidR="0042585C" w:rsidRPr="009D5976" w:rsidRDefault="0042585C" w:rsidP="00C51F9A">
      <w:pPr>
        <w:ind w:firstLineChars="200" w:firstLine="440"/>
        <w:jc w:val="both"/>
        <w:rPr>
          <w:rFonts w:ascii="Times New Roman" w:eastAsiaTheme="majorEastAsia" w:hAnsi="Times New Roman" w:cs="Times New Roman" w:hint="eastAsia"/>
          <w:sz w:val="22"/>
        </w:rPr>
      </w:pPr>
    </w:p>
    <w:p w:rsidR="0042585C" w:rsidRPr="0045633C" w:rsidRDefault="0042585C" w:rsidP="0042585C">
      <w:pPr>
        <w:jc w:val="center"/>
        <w:rPr>
          <w:rFonts w:asciiTheme="majorHAnsi" w:eastAsia="文鼎粗仿" w:hAnsiTheme="majorHAnsi" w:cs="Times New Roman"/>
          <w:kern w:val="0"/>
          <w:szCs w:val="24"/>
        </w:rPr>
      </w:pPr>
      <w:r w:rsidRPr="0045633C">
        <w:rPr>
          <w:rFonts w:asciiTheme="majorHAnsi" w:eastAsia="文鼎粗仿" w:hAnsiTheme="majorHAnsi" w:cs="Times New Roman"/>
          <w:noProof/>
          <w:szCs w:val="24"/>
        </w:rPr>
        <w:drawing>
          <wp:inline distT="0" distB="0" distL="0" distR="0" wp14:anchorId="4E9025CA" wp14:editId="0B0682F7">
            <wp:extent cx="1695450" cy="2423973"/>
            <wp:effectExtent l="0" t="0" r="0" b="0"/>
            <wp:docPr id="2" name="圖片 1" descr="F:\博士論文全文2011\20110315-10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博士論文全文2011\20110315-105754.jpg"/>
                    <pic:cNvPicPr>
                      <a:picLocks noChangeAspect="1" noChangeArrowheads="1"/>
                    </pic:cNvPicPr>
                  </pic:nvPicPr>
                  <pic:blipFill>
                    <a:blip r:embed="rId7" cstate="print"/>
                    <a:srcRect/>
                    <a:stretch>
                      <a:fillRect/>
                    </a:stretch>
                  </pic:blipFill>
                  <pic:spPr bwMode="auto">
                    <a:xfrm>
                      <a:off x="0" y="0"/>
                      <a:ext cx="1695450" cy="2423973"/>
                    </a:xfrm>
                    <a:prstGeom prst="rect">
                      <a:avLst/>
                    </a:prstGeom>
                    <a:noFill/>
                    <a:ln w="9525">
                      <a:noFill/>
                      <a:miter lim="800000"/>
                      <a:headEnd/>
                      <a:tailEnd/>
                    </a:ln>
                  </pic:spPr>
                </pic:pic>
              </a:graphicData>
            </a:graphic>
          </wp:inline>
        </w:drawing>
      </w:r>
    </w:p>
    <w:p w:rsidR="0042585C" w:rsidRPr="0042585C" w:rsidRDefault="0042585C" w:rsidP="0042585C">
      <w:pPr>
        <w:pStyle w:val="af8"/>
        <w:spacing w:afterLines="75" w:after="270"/>
        <w:rPr>
          <w:rFonts w:ascii="Times New Roman" w:eastAsiaTheme="minorEastAsia" w:hAnsi="Times New Roman"/>
          <w:sz w:val="20"/>
          <w:szCs w:val="20"/>
        </w:rPr>
      </w:pPr>
      <w:r w:rsidRPr="0042585C">
        <w:rPr>
          <w:rFonts w:ascii="Times New Roman" w:eastAsiaTheme="minorEastAsia" w:hAnsi="Times New Roman"/>
          <w:sz w:val="20"/>
          <w:szCs w:val="20"/>
        </w:rPr>
        <w:t>圖</w:t>
      </w:r>
      <w:r w:rsidR="00AF6539">
        <w:rPr>
          <w:rFonts w:ascii="Times New Roman" w:eastAsiaTheme="minorEastAsia" w:hAnsi="Times New Roman"/>
          <w:sz w:val="20"/>
          <w:szCs w:val="20"/>
        </w:rPr>
        <w:t>1</w:t>
      </w:r>
      <w:r>
        <w:rPr>
          <w:rFonts w:ascii="Times New Roman" w:eastAsiaTheme="minorEastAsia" w:hAnsi="Times New Roman"/>
          <w:sz w:val="20"/>
          <w:szCs w:val="20"/>
        </w:rPr>
        <w:t xml:space="preserve"> </w:t>
      </w:r>
      <w:r w:rsidRPr="0042585C">
        <w:rPr>
          <w:rFonts w:ascii="Times New Roman" w:eastAsiaTheme="minorEastAsia" w:hAnsi="Times New Roman"/>
          <w:sz w:val="20"/>
          <w:szCs w:val="20"/>
        </w:rPr>
        <w:t>維骨力廣告測試樣本</w:t>
      </w:r>
    </w:p>
    <w:p w:rsidR="00A64D5C" w:rsidRPr="00C51F9A" w:rsidRDefault="00A64D5C" w:rsidP="00C51F9A">
      <w:pPr>
        <w:ind w:firstLineChars="200" w:firstLine="440"/>
        <w:jc w:val="both"/>
        <w:rPr>
          <w:rFonts w:ascii="Times New Roman" w:eastAsiaTheme="majorEastAsia" w:hAnsi="Times New Roman" w:cs="Times New Roman"/>
          <w:sz w:val="22"/>
        </w:rPr>
      </w:pPr>
      <w:r w:rsidRPr="00C51F9A">
        <w:rPr>
          <w:rFonts w:ascii="Times New Roman" w:eastAsiaTheme="majorEastAsia" w:hAnsi="Times New Roman" w:cs="Times New Roman"/>
          <w:sz w:val="22"/>
        </w:rPr>
        <w:t>高齡者對新產品的學習與接收速度較年輕人緩慢，對熟悉的產品也因既有知識與過去的產品經驗，會在資訊提供與傳播過程造成差異化的態度。整體產品知識的建構過程與高齡者自身的背景、學歷、社經地位或經濟能力有很大的關係。當高齡者的使用經驗愈多，與外界聯繫愈密切或是自信程度愈高者，都會有較好的產品資訊的概念</w:t>
      </w:r>
      <w:r w:rsidR="0042585C">
        <w:rPr>
          <w:rFonts w:ascii="Times New Roman" w:eastAsiaTheme="majorEastAsia" w:hAnsi="Times New Roman" w:cs="Times New Roman" w:hint="eastAsia"/>
          <w:sz w:val="22"/>
        </w:rPr>
        <w:t>（</w:t>
      </w:r>
      <w:r w:rsidRPr="00C51F9A">
        <w:rPr>
          <w:rFonts w:ascii="Times New Roman" w:eastAsiaTheme="majorEastAsia" w:hAnsi="Times New Roman" w:cs="Times New Roman"/>
          <w:sz w:val="22"/>
        </w:rPr>
        <w:t>尼爾森媒體</w:t>
      </w:r>
      <w:r w:rsidR="0042585C">
        <w:rPr>
          <w:rFonts w:ascii="Times New Roman" w:eastAsiaTheme="majorEastAsia" w:hAnsi="Times New Roman" w:cs="Times New Roman" w:hint="eastAsia"/>
          <w:sz w:val="22"/>
        </w:rPr>
        <w:t>，</w:t>
      </w:r>
      <w:r w:rsidRPr="00C51F9A">
        <w:rPr>
          <w:rFonts w:ascii="Times New Roman" w:eastAsiaTheme="majorEastAsia" w:hAnsi="Times New Roman" w:cs="Times New Roman"/>
          <w:sz w:val="22"/>
        </w:rPr>
        <w:t>2009</w:t>
      </w:r>
      <w:r w:rsidR="0042585C">
        <w:rPr>
          <w:rFonts w:ascii="Times New Roman" w:eastAsiaTheme="majorEastAsia" w:hAnsi="Times New Roman" w:cs="Times New Roman" w:hint="eastAsia"/>
          <w:sz w:val="22"/>
        </w:rPr>
        <w:t>）</w:t>
      </w:r>
      <w:r w:rsidRPr="00C51F9A">
        <w:rPr>
          <w:rFonts w:ascii="Times New Roman" w:eastAsiaTheme="majorEastAsia" w:hAnsi="Times New Roman" w:cs="Times New Roman"/>
          <w:sz w:val="22"/>
        </w:rPr>
        <w:t>。</w:t>
      </w:r>
    </w:p>
    <w:p w:rsidR="00A02ABA" w:rsidRDefault="00C51F9A" w:rsidP="00A02ABA">
      <w:pPr>
        <w:ind w:leftChars="25" w:left="445" w:hangingChars="175" w:hanging="385"/>
        <w:jc w:val="both"/>
        <w:rPr>
          <w:rFonts w:ascii="Times New Roman" w:eastAsiaTheme="majorEastAsia" w:hAnsi="Times New Roman" w:cs="Times New Roman"/>
          <w:sz w:val="22"/>
        </w:rPr>
      </w:pPr>
      <w:r w:rsidRPr="00C51F9A">
        <w:rPr>
          <w:rFonts w:ascii="Times New Roman" w:eastAsiaTheme="majorEastAsia" w:hAnsi="Times New Roman" w:cs="Times New Roman" w:hint="eastAsia"/>
          <w:sz w:val="22"/>
        </w:rPr>
        <w:t>1.</w:t>
      </w:r>
      <w:r w:rsidR="00A02ABA">
        <w:rPr>
          <w:rFonts w:ascii="Times New Roman" w:eastAsiaTheme="majorEastAsia" w:hAnsi="Times New Roman" w:cs="Times New Roman"/>
          <w:sz w:val="22"/>
        </w:rPr>
        <w:tab/>
      </w:r>
      <w:r w:rsidRPr="00C51F9A">
        <w:rPr>
          <w:rFonts w:ascii="Times New Roman" w:eastAsiaTheme="majorEastAsia" w:hAnsi="Times New Roman" w:cs="Times New Roman" w:hint="eastAsia"/>
          <w:sz w:val="22"/>
        </w:rPr>
        <w:t>心理慣性強，對商品、品牌的忠實度高</w:t>
      </w:r>
      <w:r w:rsidR="00A02ABA">
        <w:rPr>
          <w:rFonts w:ascii="Times New Roman" w:eastAsiaTheme="majorEastAsia" w:hAnsi="Times New Roman" w:cs="Times New Roman" w:hint="eastAsia"/>
          <w:sz w:val="22"/>
        </w:rPr>
        <w:t>：</w:t>
      </w:r>
      <w:r w:rsidRPr="00C51F9A">
        <w:rPr>
          <w:rFonts w:ascii="Times New Roman" w:eastAsiaTheme="majorEastAsia" w:hAnsi="Times New Roman" w:cs="Times New Roman" w:hint="eastAsia"/>
          <w:sz w:val="22"/>
        </w:rPr>
        <w:t>老年人在長期的消費過程逐漸形成了比較穩定的消費態度和消費方式，對某一商品、品牌的偏愛一旦形</w:t>
      </w:r>
      <w:r w:rsidR="00A02ABA">
        <w:rPr>
          <w:rFonts w:ascii="Times New Roman" w:eastAsiaTheme="majorEastAsia" w:hAnsi="Times New Roman" w:cs="Times New Roman" w:hint="eastAsia"/>
          <w:sz w:val="22"/>
        </w:rPr>
        <w:t>成，就不會輕易改變。因此，作為商家需注意：</w:t>
      </w:r>
    </w:p>
    <w:p w:rsidR="00A02ABA" w:rsidRDefault="00A02ABA" w:rsidP="00A02ABA">
      <w:pPr>
        <w:ind w:leftChars="200" w:left="920" w:hangingChars="200" w:hanging="440"/>
        <w:jc w:val="both"/>
        <w:rPr>
          <w:rFonts w:ascii="Times New Roman" w:eastAsiaTheme="majorEastAsia" w:hAnsi="Times New Roman" w:cs="Times New Roman"/>
          <w:sz w:val="22"/>
        </w:rPr>
      </w:pPr>
      <w:r>
        <w:rPr>
          <w:rFonts w:ascii="Times New Roman" w:eastAsiaTheme="majorEastAsia" w:hAnsi="Times New Roman" w:cs="Times New Roman" w:hint="eastAsia"/>
          <w:sz w:val="22"/>
        </w:rPr>
        <w:t>(</w:t>
      </w:r>
      <w:r>
        <w:rPr>
          <w:rFonts w:ascii="Times New Roman" w:eastAsiaTheme="majorEastAsia" w:hAnsi="Times New Roman" w:cs="Times New Roman"/>
          <w:sz w:val="22"/>
        </w:rPr>
        <w:t>1</w:t>
      </w:r>
      <w:r>
        <w:rPr>
          <w:rFonts w:ascii="Times New Roman" w:eastAsiaTheme="majorEastAsia" w:hAnsi="Times New Roman" w:cs="Times New Roman" w:hint="eastAsia"/>
          <w:sz w:val="22"/>
        </w:rPr>
        <w:t>)</w:t>
      </w:r>
      <w:r>
        <w:rPr>
          <w:rFonts w:ascii="Times New Roman" w:eastAsiaTheme="majorEastAsia" w:hAnsi="Times New Roman" w:cs="Times New Roman"/>
          <w:sz w:val="22"/>
        </w:rPr>
        <w:tab/>
      </w:r>
      <w:r w:rsidR="00C51F9A" w:rsidRPr="00C51F9A">
        <w:rPr>
          <w:rFonts w:ascii="Times New Roman" w:eastAsiaTheme="majorEastAsia" w:hAnsi="Times New Roman" w:cs="Times New Roman" w:hint="eastAsia"/>
          <w:sz w:val="22"/>
        </w:rPr>
        <w:t>要想吸引老年人來消費，就要</w:t>
      </w:r>
      <w:r>
        <w:rPr>
          <w:rFonts w:ascii="Times New Roman" w:eastAsiaTheme="majorEastAsia" w:hAnsi="Times New Roman" w:cs="Times New Roman" w:hint="eastAsia"/>
          <w:sz w:val="22"/>
        </w:rPr>
        <w:t>注</w:t>
      </w:r>
      <w:r w:rsidR="00C51F9A" w:rsidRPr="00C51F9A">
        <w:rPr>
          <w:rFonts w:ascii="Times New Roman" w:eastAsiaTheme="majorEastAsia" w:hAnsi="Times New Roman" w:cs="Times New Roman" w:hint="eastAsia"/>
          <w:sz w:val="22"/>
        </w:rPr>
        <w:t>意企業的“老字型大小”，對傳統商標進行大量宣傳。</w:t>
      </w:r>
    </w:p>
    <w:p w:rsidR="00A02ABA" w:rsidRDefault="00A02ABA" w:rsidP="00A02ABA">
      <w:pPr>
        <w:ind w:leftChars="200" w:left="920" w:hangingChars="200" w:hanging="440"/>
        <w:jc w:val="both"/>
        <w:rPr>
          <w:rFonts w:ascii="Times New Roman" w:eastAsiaTheme="majorEastAsia" w:hAnsi="Times New Roman" w:cs="Times New Roman"/>
          <w:sz w:val="22"/>
        </w:rPr>
      </w:pPr>
      <w:r>
        <w:rPr>
          <w:rFonts w:ascii="Times New Roman" w:eastAsiaTheme="majorEastAsia" w:hAnsi="Times New Roman" w:cs="Times New Roman"/>
          <w:sz w:val="22"/>
        </w:rPr>
        <w:lastRenderedPageBreak/>
        <w:t>(2)</w:t>
      </w:r>
      <w:r>
        <w:rPr>
          <w:rFonts w:ascii="Times New Roman" w:eastAsiaTheme="majorEastAsia" w:hAnsi="Times New Roman" w:cs="Times New Roman"/>
          <w:sz w:val="22"/>
        </w:rPr>
        <w:tab/>
      </w:r>
      <w:r w:rsidR="00C51F9A" w:rsidRPr="00C51F9A">
        <w:rPr>
          <w:rFonts w:ascii="Times New Roman" w:eastAsiaTheme="majorEastAsia" w:hAnsi="Times New Roman" w:cs="Times New Roman" w:hint="eastAsia"/>
          <w:sz w:val="22"/>
        </w:rPr>
        <w:t>如果企業能夠獲得老年人的認可，就會擁有一批相對穩定的消費者</w:t>
      </w:r>
      <w:r>
        <w:rPr>
          <w:rFonts w:ascii="Times New Roman" w:eastAsiaTheme="majorEastAsia" w:hAnsi="Times New Roman" w:cs="Times New Roman" w:hint="eastAsia"/>
          <w:sz w:val="22"/>
        </w:rPr>
        <w:t>，成為開開與培值的重要管道</w:t>
      </w:r>
      <w:r w:rsidR="00C51F9A" w:rsidRPr="00C51F9A">
        <w:rPr>
          <w:rFonts w:ascii="Times New Roman" w:eastAsiaTheme="majorEastAsia" w:hAnsi="Times New Roman" w:cs="Times New Roman" w:hint="eastAsia"/>
          <w:sz w:val="22"/>
        </w:rPr>
        <w:t>。</w:t>
      </w:r>
    </w:p>
    <w:p w:rsidR="0042585C" w:rsidRPr="00A02ABA" w:rsidRDefault="0042585C" w:rsidP="0042585C">
      <w:pPr>
        <w:pStyle w:val="af7"/>
        <w:spacing w:beforeLines="75" w:before="270"/>
        <w:ind w:left="0" w:firstLineChars="0" w:firstLine="0"/>
        <w:rPr>
          <w:rFonts w:asciiTheme="majorEastAsia" w:eastAsiaTheme="majorEastAsia" w:hAnsiTheme="majorEastAsia"/>
          <w:sz w:val="20"/>
          <w:szCs w:val="20"/>
        </w:rPr>
      </w:pPr>
      <w:r w:rsidRPr="00A02ABA">
        <w:rPr>
          <w:rFonts w:asciiTheme="majorEastAsia" w:eastAsiaTheme="majorEastAsia" w:hAnsiTheme="majorEastAsia"/>
          <w:sz w:val="20"/>
          <w:szCs w:val="20"/>
        </w:rPr>
        <w:t>表</w:t>
      </w:r>
      <w:r w:rsidR="00AF6539" w:rsidRPr="00AF6539">
        <w:rPr>
          <w:rFonts w:ascii="Times New Roman" w:eastAsiaTheme="majorEastAsia" w:hAnsi="Times New Roman"/>
          <w:sz w:val="20"/>
          <w:szCs w:val="20"/>
        </w:rPr>
        <w:t>1</w:t>
      </w:r>
      <w:r>
        <w:rPr>
          <w:rFonts w:asciiTheme="majorEastAsia" w:eastAsiaTheme="majorEastAsia" w:hAnsiTheme="majorEastAsia" w:hint="eastAsia"/>
          <w:sz w:val="20"/>
          <w:szCs w:val="20"/>
        </w:rPr>
        <w:t xml:space="preserve"> </w:t>
      </w:r>
      <w:r w:rsidRPr="00A02ABA">
        <w:rPr>
          <w:rFonts w:asciiTheme="majorEastAsia" w:eastAsiaTheme="majorEastAsia" w:hAnsiTheme="majorEastAsia"/>
          <w:sz w:val="20"/>
          <w:szCs w:val="20"/>
        </w:rPr>
        <w:t>認知需求對整體廣告效果之檢定結果</w:t>
      </w:r>
    </w:p>
    <w:tbl>
      <w:tblPr>
        <w:tblStyle w:val="ac"/>
        <w:tblW w:w="5000" w:type="pct"/>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342"/>
        <w:gridCol w:w="1756"/>
        <w:gridCol w:w="1179"/>
        <w:gridCol w:w="1621"/>
        <w:gridCol w:w="1032"/>
        <w:gridCol w:w="1121"/>
      </w:tblGrid>
      <w:tr w:rsidR="0042585C" w:rsidRPr="00A02ABA" w:rsidTr="00AF6539">
        <w:trPr>
          <w:trHeight w:val="283"/>
        </w:trPr>
        <w:tc>
          <w:tcPr>
            <w:tcW w:w="833"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變異來源</w:t>
            </w:r>
          </w:p>
        </w:tc>
        <w:tc>
          <w:tcPr>
            <w:tcW w:w="1090"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型</w:t>
            </w:r>
            <w:r w:rsidRPr="00A02ABA">
              <w:rPr>
                <w:rFonts w:eastAsiaTheme="majorEastAsia"/>
              </w:rPr>
              <w:t>III</w:t>
            </w:r>
            <w:r w:rsidRPr="00A02ABA">
              <w:rPr>
                <w:rFonts w:eastAsiaTheme="majorEastAsia"/>
              </w:rPr>
              <w:t>平方和</w:t>
            </w:r>
          </w:p>
        </w:tc>
        <w:tc>
          <w:tcPr>
            <w:tcW w:w="732"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自由度</w:t>
            </w:r>
          </w:p>
        </w:tc>
        <w:tc>
          <w:tcPr>
            <w:tcW w:w="1007"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平均平方和</w:t>
            </w:r>
          </w:p>
        </w:tc>
        <w:tc>
          <w:tcPr>
            <w:tcW w:w="641"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F</w:t>
            </w:r>
            <w:r w:rsidRPr="00A02ABA">
              <w:rPr>
                <w:rFonts w:eastAsiaTheme="majorEastAsia"/>
              </w:rPr>
              <w:t>檢定</w:t>
            </w:r>
          </w:p>
        </w:tc>
        <w:tc>
          <w:tcPr>
            <w:tcW w:w="696" w:type="pct"/>
            <w:tcBorders>
              <w:top w:val="single" w:sz="12" w:space="0" w:color="auto"/>
              <w:bottom w:val="single" w:sz="12" w:space="0" w:color="auto"/>
            </w:tcBorders>
            <w:shd w:val="clear" w:color="auto" w:fill="auto"/>
            <w:vAlign w:val="center"/>
          </w:tcPr>
          <w:p w:rsidR="0042585C" w:rsidRPr="00A02ABA" w:rsidRDefault="0042585C" w:rsidP="00976CCF">
            <w:pPr>
              <w:jc w:val="center"/>
              <w:rPr>
                <w:rFonts w:eastAsiaTheme="majorEastAsia"/>
              </w:rPr>
            </w:pPr>
            <w:r w:rsidRPr="00A02ABA">
              <w:rPr>
                <w:rFonts w:eastAsiaTheme="majorEastAsia"/>
              </w:rPr>
              <w:t>顯著性</w:t>
            </w:r>
          </w:p>
        </w:tc>
      </w:tr>
      <w:tr w:rsidR="0042585C" w:rsidRPr="00A02ABA" w:rsidTr="00AF6539">
        <w:trPr>
          <w:trHeight w:val="283"/>
        </w:trPr>
        <w:tc>
          <w:tcPr>
            <w:tcW w:w="833" w:type="pct"/>
            <w:tcBorders>
              <w:top w:val="single" w:sz="12" w:space="0" w:color="auto"/>
            </w:tcBorders>
            <w:vAlign w:val="center"/>
          </w:tcPr>
          <w:p w:rsidR="0042585C" w:rsidRPr="00A02ABA" w:rsidRDefault="0042585C" w:rsidP="00976CCF">
            <w:pPr>
              <w:jc w:val="center"/>
              <w:rPr>
                <w:rFonts w:eastAsiaTheme="majorEastAsia"/>
              </w:rPr>
            </w:pPr>
            <w:r w:rsidRPr="00A02ABA">
              <w:rPr>
                <w:rFonts w:eastAsiaTheme="majorEastAsia"/>
              </w:rPr>
              <w:t>認知需求</w:t>
            </w:r>
          </w:p>
        </w:tc>
        <w:tc>
          <w:tcPr>
            <w:tcW w:w="1090" w:type="pct"/>
            <w:tcBorders>
              <w:top w:val="single" w:sz="12" w:space="0" w:color="auto"/>
            </w:tcBorders>
          </w:tcPr>
          <w:p w:rsidR="0042585C" w:rsidRPr="00A02ABA" w:rsidRDefault="0042585C" w:rsidP="00976CCF">
            <w:pPr>
              <w:jc w:val="center"/>
              <w:rPr>
                <w:rFonts w:eastAsiaTheme="majorEastAsia"/>
              </w:rPr>
            </w:pPr>
            <w:r w:rsidRPr="00A02ABA">
              <w:rPr>
                <w:rFonts w:eastAsiaTheme="majorEastAsia"/>
              </w:rPr>
              <w:t>9.855</w:t>
            </w:r>
          </w:p>
        </w:tc>
        <w:tc>
          <w:tcPr>
            <w:tcW w:w="732" w:type="pct"/>
            <w:tcBorders>
              <w:top w:val="single" w:sz="12" w:space="0" w:color="auto"/>
            </w:tcBorders>
          </w:tcPr>
          <w:p w:rsidR="0042585C" w:rsidRPr="00A02ABA" w:rsidRDefault="0042585C" w:rsidP="00976CCF">
            <w:pPr>
              <w:jc w:val="center"/>
              <w:rPr>
                <w:rFonts w:eastAsiaTheme="majorEastAsia"/>
              </w:rPr>
            </w:pPr>
            <w:r w:rsidRPr="00A02ABA">
              <w:rPr>
                <w:rFonts w:eastAsiaTheme="majorEastAsia"/>
              </w:rPr>
              <w:t>1</w:t>
            </w:r>
          </w:p>
        </w:tc>
        <w:tc>
          <w:tcPr>
            <w:tcW w:w="1007" w:type="pct"/>
            <w:tcBorders>
              <w:top w:val="single" w:sz="12" w:space="0" w:color="auto"/>
            </w:tcBorders>
          </w:tcPr>
          <w:p w:rsidR="0042585C" w:rsidRPr="00A02ABA" w:rsidRDefault="0042585C" w:rsidP="00976CCF">
            <w:pPr>
              <w:jc w:val="center"/>
              <w:rPr>
                <w:rFonts w:eastAsiaTheme="majorEastAsia"/>
              </w:rPr>
            </w:pPr>
            <w:r w:rsidRPr="00A02ABA">
              <w:rPr>
                <w:rFonts w:eastAsiaTheme="majorEastAsia"/>
              </w:rPr>
              <w:t>9.855</w:t>
            </w:r>
          </w:p>
        </w:tc>
        <w:tc>
          <w:tcPr>
            <w:tcW w:w="641" w:type="pct"/>
            <w:tcBorders>
              <w:top w:val="single" w:sz="12" w:space="0" w:color="auto"/>
            </w:tcBorders>
          </w:tcPr>
          <w:p w:rsidR="0042585C" w:rsidRPr="00A02ABA" w:rsidRDefault="0042585C" w:rsidP="00976CCF">
            <w:pPr>
              <w:jc w:val="center"/>
              <w:rPr>
                <w:rFonts w:eastAsiaTheme="majorEastAsia"/>
              </w:rPr>
            </w:pPr>
            <w:r w:rsidRPr="00A02ABA">
              <w:rPr>
                <w:rFonts w:eastAsiaTheme="majorEastAsia"/>
              </w:rPr>
              <w:t>23.606</w:t>
            </w:r>
          </w:p>
        </w:tc>
        <w:tc>
          <w:tcPr>
            <w:tcW w:w="696" w:type="pct"/>
            <w:tcBorders>
              <w:top w:val="single" w:sz="12" w:space="0" w:color="auto"/>
            </w:tcBorders>
            <w:shd w:val="clear" w:color="auto" w:fill="auto"/>
          </w:tcPr>
          <w:p w:rsidR="0042585C" w:rsidRPr="00A02ABA" w:rsidRDefault="0042585C" w:rsidP="00976CCF">
            <w:pPr>
              <w:jc w:val="center"/>
              <w:rPr>
                <w:rFonts w:eastAsiaTheme="majorEastAsia"/>
              </w:rPr>
            </w:pPr>
            <w:r w:rsidRPr="00A02ABA">
              <w:rPr>
                <w:rFonts w:eastAsiaTheme="majorEastAsia"/>
              </w:rPr>
              <w:t>.000**</w:t>
            </w:r>
          </w:p>
        </w:tc>
      </w:tr>
      <w:tr w:rsidR="0042585C" w:rsidRPr="00A02ABA" w:rsidTr="00AF6539">
        <w:trPr>
          <w:trHeight w:val="283"/>
        </w:trPr>
        <w:tc>
          <w:tcPr>
            <w:tcW w:w="833" w:type="pct"/>
            <w:tcBorders>
              <w:bottom w:val="single" w:sz="2" w:space="0" w:color="auto"/>
            </w:tcBorders>
            <w:vAlign w:val="center"/>
          </w:tcPr>
          <w:p w:rsidR="0042585C" w:rsidRPr="00A02ABA" w:rsidRDefault="0042585C" w:rsidP="00976CCF">
            <w:pPr>
              <w:jc w:val="center"/>
              <w:rPr>
                <w:rFonts w:eastAsiaTheme="majorEastAsia"/>
              </w:rPr>
            </w:pPr>
            <w:r w:rsidRPr="00A02ABA">
              <w:rPr>
                <w:rFonts w:eastAsiaTheme="majorEastAsia"/>
              </w:rPr>
              <w:t>誤差</w:t>
            </w:r>
          </w:p>
        </w:tc>
        <w:tc>
          <w:tcPr>
            <w:tcW w:w="1090" w:type="pct"/>
            <w:tcBorders>
              <w:bottom w:val="single" w:sz="2" w:space="0" w:color="auto"/>
            </w:tcBorders>
          </w:tcPr>
          <w:p w:rsidR="0042585C" w:rsidRPr="00A02ABA" w:rsidRDefault="0042585C" w:rsidP="00976CCF">
            <w:pPr>
              <w:jc w:val="center"/>
              <w:rPr>
                <w:rFonts w:eastAsiaTheme="majorEastAsia"/>
              </w:rPr>
            </w:pPr>
            <w:r w:rsidRPr="00A02ABA">
              <w:rPr>
                <w:rFonts w:eastAsiaTheme="majorEastAsia"/>
              </w:rPr>
              <w:t>59.281</w:t>
            </w:r>
          </w:p>
        </w:tc>
        <w:tc>
          <w:tcPr>
            <w:tcW w:w="732" w:type="pct"/>
            <w:tcBorders>
              <w:bottom w:val="single" w:sz="2" w:space="0" w:color="auto"/>
            </w:tcBorders>
          </w:tcPr>
          <w:p w:rsidR="0042585C" w:rsidRPr="00A02ABA" w:rsidRDefault="0042585C" w:rsidP="00976CCF">
            <w:pPr>
              <w:jc w:val="center"/>
              <w:rPr>
                <w:rFonts w:eastAsiaTheme="majorEastAsia"/>
              </w:rPr>
            </w:pPr>
            <w:r w:rsidRPr="00A02ABA">
              <w:rPr>
                <w:rFonts w:eastAsiaTheme="majorEastAsia"/>
              </w:rPr>
              <w:t>142</w:t>
            </w:r>
          </w:p>
        </w:tc>
        <w:tc>
          <w:tcPr>
            <w:tcW w:w="1007" w:type="pct"/>
            <w:tcBorders>
              <w:bottom w:val="single" w:sz="2" w:space="0" w:color="auto"/>
            </w:tcBorders>
          </w:tcPr>
          <w:p w:rsidR="0042585C" w:rsidRPr="00A02ABA" w:rsidRDefault="0042585C" w:rsidP="00976CCF">
            <w:pPr>
              <w:jc w:val="center"/>
              <w:rPr>
                <w:rFonts w:eastAsiaTheme="majorEastAsia"/>
              </w:rPr>
            </w:pPr>
            <w:r w:rsidRPr="00A02ABA">
              <w:rPr>
                <w:rFonts w:eastAsiaTheme="majorEastAsia"/>
              </w:rPr>
              <w:t>.417</w:t>
            </w:r>
          </w:p>
        </w:tc>
        <w:tc>
          <w:tcPr>
            <w:tcW w:w="641" w:type="pct"/>
            <w:tcBorders>
              <w:bottom w:val="single" w:sz="2" w:space="0" w:color="auto"/>
            </w:tcBorders>
          </w:tcPr>
          <w:p w:rsidR="0042585C" w:rsidRPr="00A02ABA" w:rsidRDefault="0042585C" w:rsidP="00976CCF">
            <w:pPr>
              <w:jc w:val="center"/>
              <w:rPr>
                <w:rFonts w:eastAsiaTheme="majorEastAsia"/>
              </w:rPr>
            </w:pPr>
          </w:p>
        </w:tc>
        <w:tc>
          <w:tcPr>
            <w:tcW w:w="696" w:type="pct"/>
            <w:tcBorders>
              <w:bottom w:val="single" w:sz="2" w:space="0" w:color="auto"/>
            </w:tcBorders>
          </w:tcPr>
          <w:p w:rsidR="0042585C" w:rsidRPr="00A02ABA" w:rsidRDefault="0042585C" w:rsidP="00976CCF">
            <w:pPr>
              <w:jc w:val="center"/>
              <w:rPr>
                <w:rFonts w:eastAsiaTheme="majorEastAsia"/>
              </w:rPr>
            </w:pPr>
          </w:p>
        </w:tc>
      </w:tr>
      <w:tr w:rsidR="0042585C" w:rsidRPr="00A02ABA" w:rsidTr="00AF6539">
        <w:trPr>
          <w:trHeight w:val="283"/>
        </w:trPr>
        <w:tc>
          <w:tcPr>
            <w:tcW w:w="833" w:type="pct"/>
            <w:tcBorders>
              <w:bottom w:val="single" w:sz="12" w:space="0" w:color="auto"/>
            </w:tcBorders>
            <w:vAlign w:val="center"/>
          </w:tcPr>
          <w:p w:rsidR="0042585C" w:rsidRPr="00A02ABA" w:rsidRDefault="0042585C" w:rsidP="00976CCF">
            <w:pPr>
              <w:jc w:val="center"/>
              <w:rPr>
                <w:rFonts w:eastAsiaTheme="majorEastAsia"/>
              </w:rPr>
            </w:pPr>
            <w:r w:rsidRPr="00A02ABA">
              <w:rPr>
                <w:rFonts w:eastAsiaTheme="majorEastAsia"/>
              </w:rPr>
              <w:t>總和</w:t>
            </w:r>
          </w:p>
        </w:tc>
        <w:tc>
          <w:tcPr>
            <w:tcW w:w="1090" w:type="pct"/>
            <w:tcBorders>
              <w:bottom w:val="single" w:sz="12" w:space="0" w:color="auto"/>
            </w:tcBorders>
          </w:tcPr>
          <w:p w:rsidR="0042585C" w:rsidRPr="00A02ABA" w:rsidRDefault="0042585C" w:rsidP="00976CCF">
            <w:pPr>
              <w:jc w:val="center"/>
              <w:rPr>
                <w:rFonts w:eastAsiaTheme="majorEastAsia"/>
              </w:rPr>
            </w:pPr>
            <w:r w:rsidRPr="00A02ABA">
              <w:rPr>
                <w:rFonts w:eastAsiaTheme="majorEastAsia"/>
              </w:rPr>
              <w:t>69.136</w:t>
            </w:r>
          </w:p>
        </w:tc>
        <w:tc>
          <w:tcPr>
            <w:tcW w:w="732" w:type="pct"/>
            <w:tcBorders>
              <w:bottom w:val="single" w:sz="12" w:space="0" w:color="auto"/>
            </w:tcBorders>
          </w:tcPr>
          <w:p w:rsidR="0042585C" w:rsidRPr="00A02ABA" w:rsidRDefault="0042585C" w:rsidP="00976CCF">
            <w:pPr>
              <w:jc w:val="center"/>
              <w:rPr>
                <w:rFonts w:eastAsiaTheme="majorEastAsia"/>
              </w:rPr>
            </w:pPr>
            <w:r w:rsidRPr="00A02ABA">
              <w:rPr>
                <w:rFonts w:eastAsiaTheme="majorEastAsia"/>
              </w:rPr>
              <w:t>143</w:t>
            </w:r>
          </w:p>
        </w:tc>
        <w:tc>
          <w:tcPr>
            <w:tcW w:w="1007" w:type="pct"/>
            <w:tcBorders>
              <w:bottom w:val="single" w:sz="12" w:space="0" w:color="auto"/>
            </w:tcBorders>
          </w:tcPr>
          <w:p w:rsidR="0042585C" w:rsidRPr="00A02ABA" w:rsidRDefault="0042585C" w:rsidP="00976CCF">
            <w:pPr>
              <w:jc w:val="center"/>
              <w:rPr>
                <w:rFonts w:eastAsiaTheme="majorEastAsia"/>
              </w:rPr>
            </w:pPr>
          </w:p>
        </w:tc>
        <w:tc>
          <w:tcPr>
            <w:tcW w:w="641" w:type="pct"/>
            <w:tcBorders>
              <w:bottom w:val="single" w:sz="12" w:space="0" w:color="auto"/>
            </w:tcBorders>
          </w:tcPr>
          <w:p w:rsidR="0042585C" w:rsidRPr="00A02ABA" w:rsidRDefault="0042585C" w:rsidP="00976CCF">
            <w:pPr>
              <w:jc w:val="center"/>
              <w:rPr>
                <w:rFonts w:eastAsiaTheme="majorEastAsia"/>
              </w:rPr>
            </w:pPr>
          </w:p>
        </w:tc>
        <w:tc>
          <w:tcPr>
            <w:tcW w:w="696" w:type="pct"/>
            <w:tcBorders>
              <w:bottom w:val="single" w:sz="12" w:space="0" w:color="auto"/>
            </w:tcBorders>
          </w:tcPr>
          <w:p w:rsidR="0042585C" w:rsidRPr="00A02ABA" w:rsidRDefault="0042585C" w:rsidP="00976CCF">
            <w:pPr>
              <w:jc w:val="center"/>
              <w:rPr>
                <w:rFonts w:eastAsiaTheme="majorEastAsia"/>
              </w:rPr>
            </w:pPr>
          </w:p>
        </w:tc>
      </w:tr>
    </w:tbl>
    <w:p w:rsidR="0042585C" w:rsidRDefault="0042585C" w:rsidP="0042585C">
      <w:pPr>
        <w:ind w:firstLineChars="200" w:firstLine="440"/>
        <w:jc w:val="both"/>
        <w:rPr>
          <w:rFonts w:ascii="Times New Roman" w:eastAsiaTheme="majorEastAsia" w:hAnsi="Times New Roman" w:cs="Times New Roman" w:hint="eastAsia"/>
          <w:sz w:val="22"/>
        </w:rPr>
      </w:pPr>
    </w:p>
    <w:p w:rsidR="00C51F9A" w:rsidRDefault="00C51F9A" w:rsidP="00A02ABA">
      <w:pPr>
        <w:ind w:leftChars="25" w:left="445" w:hangingChars="175" w:hanging="385"/>
        <w:jc w:val="both"/>
        <w:rPr>
          <w:rFonts w:ascii="Times New Roman" w:eastAsiaTheme="majorEastAsia" w:hAnsi="Times New Roman" w:cs="Times New Roman"/>
          <w:sz w:val="22"/>
        </w:rPr>
      </w:pPr>
      <w:r w:rsidRPr="00C51F9A">
        <w:rPr>
          <w:rFonts w:ascii="Times New Roman" w:eastAsiaTheme="majorEastAsia" w:hAnsi="Times New Roman" w:cs="Times New Roman" w:hint="eastAsia"/>
          <w:sz w:val="22"/>
        </w:rPr>
        <w:t>2.</w:t>
      </w:r>
      <w:r w:rsidR="00A02ABA">
        <w:rPr>
          <w:rFonts w:ascii="Times New Roman" w:eastAsiaTheme="majorEastAsia" w:hAnsi="Times New Roman" w:cs="Times New Roman"/>
          <w:sz w:val="22"/>
        </w:rPr>
        <w:tab/>
      </w:r>
      <w:r w:rsidR="00A02ABA">
        <w:rPr>
          <w:rFonts w:ascii="Times New Roman" w:eastAsiaTheme="majorEastAsia" w:hAnsi="Times New Roman" w:cs="Times New Roman" w:hint="eastAsia"/>
          <w:sz w:val="22"/>
        </w:rPr>
        <w:t>注</w:t>
      </w:r>
      <w:r w:rsidRPr="00C51F9A">
        <w:rPr>
          <w:rFonts w:ascii="Times New Roman" w:eastAsiaTheme="majorEastAsia" w:hAnsi="Times New Roman" w:cs="Times New Roman" w:hint="eastAsia"/>
          <w:sz w:val="22"/>
        </w:rPr>
        <w:t>重實用，追求方便</w:t>
      </w:r>
      <w:r w:rsidR="00A02ABA">
        <w:rPr>
          <w:rFonts w:ascii="Times New Roman" w:eastAsiaTheme="majorEastAsia" w:hAnsi="Times New Roman" w:cs="Times New Roman" w:hint="eastAsia"/>
          <w:sz w:val="22"/>
        </w:rPr>
        <w:t>：</w:t>
      </w:r>
      <w:r w:rsidR="00AF6539">
        <w:rPr>
          <w:rFonts w:ascii="Times New Roman" w:eastAsiaTheme="majorEastAsia" w:hAnsi="Times New Roman" w:cs="Times New Roman" w:hint="eastAsia"/>
          <w:sz w:val="22"/>
        </w:rPr>
        <w:t>老年人對商品實際的功用比較注</w:t>
      </w:r>
      <w:r w:rsidRPr="00C51F9A">
        <w:rPr>
          <w:rFonts w:ascii="Times New Roman" w:eastAsiaTheme="majorEastAsia" w:hAnsi="Times New Roman" w:cs="Times New Roman" w:hint="eastAsia"/>
          <w:sz w:val="22"/>
        </w:rPr>
        <w:t>重，選擇商品以方便、實惠為主。由於年齡的關係，老年人在購買過程中，希望有一個良好、方便的購物環境。因此，對於老年用品，操作要簡單，說明書和價格</w:t>
      </w:r>
      <w:r w:rsidR="00AF6539">
        <w:rPr>
          <w:rFonts w:ascii="Times New Roman" w:eastAsiaTheme="majorEastAsia" w:hAnsi="Times New Roman" w:cs="Times New Roman" w:hint="eastAsia"/>
          <w:sz w:val="22"/>
        </w:rPr>
        <w:t>標籤</w:t>
      </w:r>
      <w:r w:rsidRPr="00C51F9A">
        <w:rPr>
          <w:rFonts w:ascii="Times New Roman" w:eastAsiaTheme="majorEastAsia" w:hAnsi="Times New Roman" w:cs="Times New Roman" w:hint="eastAsia"/>
          <w:sz w:val="22"/>
        </w:rPr>
        <w:t>要清晰明瞭。同時，手續簡潔、服務周到也會增加老年消費者的滿意程度。</w:t>
      </w:r>
    </w:p>
    <w:p w:rsidR="008024B1" w:rsidRPr="00CC27FA" w:rsidRDefault="005F26E7" w:rsidP="00CC27FA">
      <w:pPr>
        <w:pStyle w:val="af3"/>
        <w:spacing w:beforeLines="150" w:before="540" w:line="400" w:lineRule="exact"/>
        <w:rPr>
          <w:rFonts w:ascii="微軟正黑體" w:eastAsia="微軟正黑體" w:hAnsi="微軟正黑體"/>
          <w:sz w:val="30"/>
          <w:szCs w:val="30"/>
        </w:rPr>
      </w:pPr>
      <w:r w:rsidRPr="00CC27FA">
        <w:rPr>
          <w:rFonts w:ascii="微軟正黑體" w:eastAsia="微軟正黑體" w:hAnsi="微軟正黑體"/>
          <w:sz w:val="30"/>
          <w:szCs w:val="30"/>
        </w:rPr>
        <w:t>參考文獻</w:t>
      </w:r>
    </w:p>
    <w:p w:rsidR="008A6865" w:rsidRPr="0042585C" w:rsidRDefault="008A6865" w:rsidP="00BC5F55">
      <w:pPr>
        <w:pStyle w:val="af9"/>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江亮演</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2009</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，《老人社會福利》，台北：五南出版社。</w:t>
      </w:r>
    </w:p>
    <w:p w:rsidR="008A6865" w:rsidRPr="0042585C" w:rsidRDefault="008A6865" w:rsidP="00BC5F55">
      <w:pPr>
        <w:pStyle w:val="af9"/>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李傳房</w:t>
      </w:r>
      <w:r w:rsidR="00AF6539">
        <w:rPr>
          <w:rFonts w:ascii="Times New Roman" w:eastAsiaTheme="majorEastAsia" w:hAnsi="Times New Roman" w:hint="eastAsia"/>
          <w:sz w:val="20"/>
          <w:szCs w:val="20"/>
        </w:rPr>
        <w:t>（</w:t>
      </w:r>
      <w:r w:rsidR="00AF6539">
        <w:rPr>
          <w:rFonts w:ascii="Times New Roman" w:eastAsiaTheme="majorEastAsia" w:hAnsi="Times New Roman"/>
          <w:sz w:val="20"/>
          <w:szCs w:val="20"/>
        </w:rPr>
        <w:t>2006</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，〈高齡使用者產品設計之探討〉，設計學報</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11(3)</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65-69</w:t>
      </w:r>
      <w:r w:rsidRPr="0042585C">
        <w:rPr>
          <w:rFonts w:ascii="Times New Roman" w:eastAsiaTheme="majorEastAsia" w:hAnsi="Times New Roman"/>
          <w:sz w:val="20"/>
          <w:szCs w:val="20"/>
        </w:rPr>
        <w:t>。</w:t>
      </w:r>
    </w:p>
    <w:p w:rsidR="008A6865" w:rsidRPr="0042585C" w:rsidRDefault="008A6865" w:rsidP="00BC5F55">
      <w:pPr>
        <w:pStyle w:val="af9"/>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張怡</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2003</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，〈影響老人社會參與之相關因素探討〉，社區發展季刊</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103</w:t>
      </w:r>
      <w:r w:rsidR="00AF6539">
        <w:rPr>
          <w:rFonts w:ascii="Times New Roman" w:eastAsiaTheme="majorEastAsia" w:hAnsi="Times New Roman" w:hint="eastAsia"/>
          <w:sz w:val="20"/>
          <w:szCs w:val="20"/>
        </w:rPr>
        <w:t>，</w:t>
      </w:r>
      <w:r w:rsidRPr="0042585C">
        <w:rPr>
          <w:rFonts w:ascii="Times New Roman" w:eastAsiaTheme="majorEastAsia" w:hAnsi="Times New Roman"/>
          <w:sz w:val="20"/>
          <w:szCs w:val="20"/>
        </w:rPr>
        <w:t>225</w:t>
      </w:r>
      <w:r w:rsidRPr="0042585C">
        <w:rPr>
          <w:rFonts w:ascii="Times New Roman" w:eastAsiaTheme="majorEastAsia" w:hAnsi="Times New Roman"/>
          <w:sz w:val="20"/>
          <w:szCs w:val="20"/>
        </w:rPr>
        <w:t>。</w:t>
      </w:r>
    </w:p>
    <w:p w:rsidR="008A6865" w:rsidRPr="0042585C" w:rsidRDefault="008A6865" w:rsidP="00BC5F55">
      <w:pPr>
        <w:pStyle w:val="afa"/>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 xml:space="preserve">Gorden, M. E. Mckeage, K. &amp; Fox, M. k. A. (1998) , “Relationship marketing effectiveness: the role of involvement”, </w:t>
      </w:r>
      <w:r w:rsidRPr="0042585C">
        <w:rPr>
          <w:rFonts w:ascii="Times New Roman" w:eastAsiaTheme="majorEastAsia" w:hAnsi="Times New Roman"/>
          <w:i/>
          <w:sz w:val="20"/>
          <w:szCs w:val="20"/>
        </w:rPr>
        <w:t>Psychology &amp; Marketing,</w:t>
      </w:r>
      <w:r w:rsidRPr="0042585C">
        <w:rPr>
          <w:rFonts w:ascii="Times New Roman" w:eastAsiaTheme="majorEastAsia" w:hAnsi="Times New Roman"/>
          <w:sz w:val="20"/>
          <w:szCs w:val="20"/>
        </w:rPr>
        <w:t xml:space="preserve"> 15, pp.443-459.</w:t>
      </w:r>
    </w:p>
    <w:p w:rsidR="008A6865" w:rsidRPr="0042585C" w:rsidRDefault="008A6865" w:rsidP="00BC5F55">
      <w:pPr>
        <w:pStyle w:val="afa"/>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Gwinner, K. P. &amp; Stephens, N. (2001), “Testing the implied meditational role of cognitive age”,</w:t>
      </w:r>
      <w:r w:rsidRPr="0042585C">
        <w:rPr>
          <w:rFonts w:ascii="Times New Roman" w:eastAsiaTheme="majorEastAsia" w:hAnsi="Times New Roman"/>
          <w:i/>
          <w:sz w:val="20"/>
          <w:szCs w:val="20"/>
        </w:rPr>
        <w:t xml:space="preserve"> Psychology and Marketing</w:t>
      </w:r>
      <w:r w:rsidRPr="0042585C">
        <w:rPr>
          <w:rFonts w:ascii="Times New Roman" w:eastAsiaTheme="majorEastAsia" w:hAnsi="Times New Roman"/>
          <w:sz w:val="20"/>
          <w:szCs w:val="20"/>
        </w:rPr>
        <w:t>, 18, pp.1031–1048.</w:t>
      </w:r>
    </w:p>
    <w:p w:rsidR="006C1CFB" w:rsidRPr="0042585C" w:rsidRDefault="008A6865" w:rsidP="00BC5F55">
      <w:pPr>
        <w:pStyle w:val="afa"/>
        <w:ind w:left="300" w:hanging="300"/>
        <w:rPr>
          <w:rFonts w:ascii="Times New Roman" w:eastAsiaTheme="majorEastAsia" w:hAnsi="Times New Roman"/>
          <w:sz w:val="20"/>
          <w:szCs w:val="20"/>
        </w:rPr>
      </w:pPr>
      <w:r w:rsidRPr="0042585C">
        <w:rPr>
          <w:rFonts w:ascii="Times New Roman" w:eastAsiaTheme="majorEastAsia" w:hAnsi="Times New Roman"/>
          <w:sz w:val="20"/>
          <w:szCs w:val="20"/>
        </w:rPr>
        <w:t xml:space="preserve">Lachman, M., Rosnick, C. &amp; Rocke, C. (2009), “The rise and fall of control beliefs in adulthood: cognitive and bio-psychosocial antecedents of stability and change over nine years”, </w:t>
      </w:r>
      <w:r w:rsidRPr="0042585C">
        <w:rPr>
          <w:rFonts w:ascii="Times New Roman" w:eastAsiaTheme="majorEastAsia" w:hAnsi="Times New Roman"/>
          <w:i/>
          <w:sz w:val="20"/>
          <w:szCs w:val="20"/>
        </w:rPr>
        <w:t>Cognition in aging: Methodologies and applications</w:t>
      </w:r>
      <w:r w:rsidRPr="0042585C">
        <w:rPr>
          <w:rFonts w:ascii="Times New Roman" w:eastAsiaTheme="majorEastAsia" w:hAnsi="Times New Roman"/>
          <w:sz w:val="20"/>
          <w:szCs w:val="20"/>
        </w:rPr>
        <w:t>, American Psycho</w:t>
      </w:r>
      <w:r w:rsidR="00F1246F" w:rsidRPr="0042585C">
        <w:rPr>
          <w:rFonts w:ascii="Times New Roman" w:eastAsiaTheme="majorEastAsia" w:hAnsi="Times New Roman"/>
          <w:sz w:val="20"/>
          <w:szCs w:val="20"/>
        </w:rPr>
        <w:t>logical Association, pp.143-160.</w:t>
      </w:r>
    </w:p>
    <w:sectPr w:rsidR="006C1CFB" w:rsidRPr="0042585C" w:rsidSect="009D5976">
      <w:headerReference w:type="even" r:id="rId8"/>
      <w:headerReference w:type="default" r:id="rId9"/>
      <w:footerReference w:type="even" r:id="rId10"/>
      <w:footerReference w:type="default" r:id="rId11"/>
      <w:pgSz w:w="10603" w:h="14742" w:code="126"/>
      <w:pgMar w:top="1134" w:right="1134" w:bottom="1134" w:left="1418" w:header="1134" w:footer="90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57" w:rsidRDefault="001F4857" w:rsidP="00BB7FDE">
      <w:r>
        <w:separator/>
      </w:r>
    </w:p>
  </w:endnote>
  <w:endnote w:type="continuationSeparator" w:id="0">
    <w:p w:rsidR="001F4857" w:rsidRDefault="001F4857" w:rsidP="00B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粗仿">
    <w:altName w:val="Arial Unicode MS"/>
    <w:charset w:val="88"/>
    <w:family w:val="modern"/>
    <w:pitch w:val="fixed"/>
    <w:sig w:usb0="00000000" w:usb1="288800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MingB5-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551"/>
      <w:docPartObj>
        <w:docPartGallery w:val="Page Numbers (Bottom of Page)"/>
        <w:docPartUnique/>
      </w:docPartObj>
    </w:sdtPr>
    <w:sdtEndPr>
      <w:rPr>
        <w:rFonts w:asciiTheme="majorHAnsi" w:eastAsia="文鼎粗仿" w:hAnsiTheme="majorHAnsi"/>
      </w:rPr>
    </w:sdtEndPr>
    <w:sdtContent>
      <w:p w:rsidR="009D5976" w:rsidRPr="00EB7647" w:rsidRDefault="009D5976" w:rsidP="009D5976">
        <w:pPr>
          <w:pStyle w:val="a6"/>
          <w:spacing w:beforeLines="35" w:before="84"/>
          <w:jc w:val="center"/>
          <w:rPr>
            <w:rFonts w:asciiTheme="majorHAnsi" w:hAnsiTheme="majorHAnsi"/>
          </w:rPr>
        </w:pPr>
        <w:r w:rsidRPr="00EB7647">
          <w:rPr>
            <w:rFonts w:asciiTheme="majorHAnsi" w:eastAsia="文鼎粗仿" w:hAnsiTheme="majorHAnsi"/>
          </w:rPr>
          <w:fldChar w:fldCharType="begin"/>
        </w:r>
        <w:r w:rsidRPr="00EB7647">
          <w:rPr>
            <w:rFonts w:asciiTheme="majorHAnsi" w:eastAsia="文鼎粗仿" w:hAnsiTheme="majorHAnsi"/>
          </w:rPr>
          <w:instrText xml:space="preserve"> PAGE   \* MERGEFORMAT </w:instrText>
        </w:r>
        <w:r w:rsidRPr="00EB7647">
          <w:rPr>
            <w:rFonts w:asciiTheme="majorHAnsi" w:eastAsia="文鼎粗仿" w:hAnsiTheme="majorHAnsi"/>
          </w:rPr>
          <w:fldChar w:fldCharType="separate"/>
        </w:r>
        <w:r w:rsidR="00734362" w:rsidRPr="00734362">
          <w:rPr>
            <w:rFonts w:asciiTheme="majorHAnsi" w:eastAsia="文鼎粗仿" w:hAnsiTheme="majorHAnsi"/>
            <w:noProof/>
            <w:lang w:val="zh-TW"/>
          </w:rPr>
          <w:t>-</w:t>
        </w:r>
        <w:r w:rsidR="00734362">
          <w:rPr>
            <w:rFonts w:asciiTheme="majorHAnsi" w:eastAsia="文鼎粗仿" w:hAnsiTheme="majorHAnsi"/>
            <w:noProof/>
          </w:rPr>
          <w:t xml:space="preserve"> 4 -</w:t>
        </w:r>
        <w:r w:rsidRPr="00EB7647">
          <w:rPr>
            <w:rFonts w:asciiTheme="majorHAnsi" w:eastAsia="文鼎粗仿" w:hAnsiTheme="majorHAnsi"/>
          </w:rPr>
          <w:fldChar w:fldCharType="end"/>
        </w:r>
      </w:p>
    </w:sdtContent>
  </w:sdt>
  <w:p w:rsidR="009D5976" w:rsidRDefault="009D59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88937"/>
      <w:docPartObj>
        <w:docPartGallery w:val="Page Numbers (Bottom of Page)"/>
        <w:docPartUnique/>
      </w:docPartObj>
    </w:sdtPr>
    <w:sdtEndPr>
      <w:rPr>
        <w:rFonts w:asciiTheme="majorHAnsi" w:eastAsia="文鼎粗仿" w:hAnsiTheme="majorHAnsi"/>
      </w:rPr>
    </w:sdtEndPr>
    <w:sdtContent>
      <w:p w:rsidR="002E275C" w:rsidRPr="00EB7647" w:rsidRDefault="00CC3796" w:rsidP="009D5976">
        <w:pPr>
          <w:pStyle w:val="a6"/>
          <w:spacing w:beforeLines="35" w:before="84"/>
          <w:jc w:val="center"/>
          <w:rPr>
            <w:rFonts w:asciiTheme="majorHAnsi" w:hAnsiTheme="majorHAnsi"/>
          </w:rPr>
        </w:pPr>
        <w:r w:rsidRPr="00EB7647">
          <w:rPr>
            <w:rFonts w:asciiTheme="majorHAnsi" w:eastAsia="文鼎粗仿" w:hAnsiTheme="majorHAnsi"/>
          </w:rPr>
          <w:fldChar w:fldCharType="begin"/>
        </w:r>
        <w:r w:rsidR="002E275C" w:rsidRPr="00EB7647">
          <w:rPr>
            <w:rFonts w:asciiTheme="majorHAnsi" w:eastAsia="文鼎粗仿" w:hAnsiTheme="majorHAnsi"/>
          </w:rPr>
          <w:instrText xml:space="preserve"> PAGE   \* MERGEFORMAT </w:instrText>
        </w:r>
        <w:r w:rsidRPr="00EB7647">
          <w:rPr>
            <w:rFonts w:asciiTheme="majorHAnsi" w:eastAsia="文鼎粗仿" w:hAnsiTheme="majorHAnsi"/>
          </w:rPr>
          <w:fldChar w:fldCharType="separate"/>
        </w:r>
        <w:r w:rsidR="00734362" w:rsidRPr="00734362">
          <w:rPr>
            <w:rFonts w:asciiTheme="majorHAnsi" w:eastAsia="文鼎粗仿" w:hAnsiTheme="majorHAnsi"/>
            <w:noProof/>
            <w:lang w:val="zh-TW"/>
          </w:rPr>
          <w:t>-</w:t>
        </w:r>
        <w:r w:rsidR="00734362">
          <w:rPr>
            <w:rFonts w:asciiTheme="majorHAnsi" w:eastAsia="文鼎粗仿" w:hAnsiTheme="majorHAnsi"/>
            <w:noProof/>
          </w:rPr>
          <w:t xml:space="preserve"> 3 -</w:t>
        </w:r>
        <w:r w:rsidRPr="00EB7647">
          <w:rPr>
            <w:rFonts w:asciiTheme="majorHAnsi" w:eastAsia="文鼎粗仿" w:hAnsiTheme="majorHAnsi"/>
          </w:rPr>
          <w:fldChar w:fldCharType="end"/>
        </w:r>
      </w:p>
    </w:sdtContent>
  </w:sdt>
  <w:p w:rsidR="002E275C" w:rsidRDefault="002E2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57" w:rsidRDefault="001F4857" w:rsidP="00BB7FDE">
      <w:r>
        <w:separator/>
      </w:r>
    </w:p>
  </w:footnote>
  <w:footnote w:type="continuationSeparator" w:id="0">
    <w:p w:rsidR="001F4857" w:rsidRDefault="001F4857" w:rsidP="00BB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76" w:rsidRPr="0004087C" w:rsidRDefault="009D5976" w:rsidP="009D5976">
    <w:pPr>
      <w:pStyle w:val="a4"/>
      <w:jc w:val="both"/>
      <w:rPr>
        <w:rFonts w:asciiTheme="majorHAnsi" w:eastAsia="微軟正黑體" w:hAnsiTheme="majorHAnsi" w:cs="TimesNewRomanPSMT"/>
        <w:kern w:val="0"/>
      </w:rPr>
    </w:pPr>
    <w:r w:rsidRPr="0004087C">
      <w:rPr>
        <w:rFonts w:asciiTheme="majorHAnsi" w:eastAsia="微軟正黑體" w:hAnsiTheme="majorHAnsi" w:cs="TimesNewRomanPSMT"/>
        <w:kern w:val="0"/>
      </w:rPr>
      <w:t>2013</w:t>
    </w:r>
    <w:r w:rsidRPr="0004087C">
      <w:rPr>
        <w:rFonts w:asciiTheme="majorHAnsi" w:eastAsia="微軟正黑體" w:hAnsiTheme="majorHAnsi" w:cs="ARMingB5-Light"/>
        <w:kern w:val="0"/>
      </w:rPr>
      <w:t>年</w:t>
    </w:r>
    <w:r w:rsidRPr="0004087C">
      <w:rPr>
        <w:rFonts w:asciiTheme="majorHAnsi" w:eastAsia="微軟正黑體" w:hAnsiTheme="majorHAnsi" w:cs="TimesNewRomanPSMT"/>
        <w:kern w:val="0"/>
      </w:rPr>
      <w:t>2</w:t>
    </w:r>
    <w:r w:rsidRPr="0004087C">
      <w:rPr>
        <w:rFonts w:asciiTheme="majorHAnsi" w:eastAsia="微軟正黑體" w:hAnsiTheme="majorHAnsi" w:cs="ARMingB5-Light"/>
        <w:kern w:val="0"/>
      </w:rPr>
      <w:t>月</w:t>
    </w:r>
    <w:r w:rsidRPr="0004087C">
      <w:rPr>
        <w:rFonts w:asciiTheme="majorHAnsi" w:eastAsia="微軟正黑體" w:hAnsiTheme="majorHAnsi" w:cs="ARMingB5-Light"/>
        <w:kern w:val="0"/>
      </w:rPr>
      <w:t xml:space="preserve"> </w:t>
    </w:r>
    <w:r w:rsidRPr="0004087C">
      <w:rPr>
        <w:rFonts w:asciiTheme="majorHAnsi" w:eastAsia="微軟正黑體" w:hAnsiTheme="majorHAnsi" w:cs="ARMingB5-Light"/>
        <w:kern w:val="0"/>
      </w:rPr>
      <w:t>頁</w:t>
    </w:r>
    <w:r w:rsidRPr="0004087C">
      <w:rPr>
        <w:rFonts w:asciiTheme="majorHAnsi" w:eastAsia="微軟正黑體" w:hAnsiTheme="majorHAnsi" w:cs="TimesNewRomanPSMT"/>
        <w:kern w:val="0"/>
      </w:rPr>
      <w:t>1-20</w:t>
    </w:r>
  </w:p>
  <w:p w:rsidR="009D5976" w:rsidRDefault="009D5976" w:rsidP="009D5976">
    <w:pPr>
      <w:pStyle w:val="a4"/>
      <w:jc w:val="both"/>
      <w:rPr>
        <w:rFonts w:ascii="文鼎粗仿" w:eastAsia="文鼎粗仿"/>
      </w:rPr>
    </w:pPr>
  </w:p>
  <w:p w:rsidR="009D5976" w:rsidRPr="006B299E" w:rsidRDefault="009D5976" w:rsidP="009D5976">
    <w:pPr>
      <w:pStyle w:val="a4"/>
      <w:tabs>
        <w:tab w:val="clear" w:pos="4153"/>
        <w:tab w:val="clear" w:pos="8306"/>
      </w:tabs>
      <w:jc w:val="both"/>
      <w:rPr>
        <w:rFonts w:ascii="文鼎粗仿" w:eastAsia="文鼎粗仿"/>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DE" w:rsidRPr="0004087C" w:rsidRDefault="009D5976" w:rsidP="009D5976">
    <w:pPr>
      <w:wordWrap w:val="0"/>
      <w:autoSpaceDE w:val="0"/>
      <w:autoSpaceDN w:val="0"/>
      <w:adjustRightInd w:val="0"/>
      <w:jc w:val="right"/>
      <w:rPr>
        <w:rFonts w:asciiTheme="majorHAnsi" w:eastAsia="微軟正黑體" w:hAnsiTheme="majorHAnsi" w:cs="ARMingB5-Light"/>
        <w:kern w:val="0"/>
        <w:sz w:val="20"/>
        <w:szCs w:val="20"/>
      </w:rPr>
    </w:pPr>
    <w:r>
      <w:rPr>
        <w:rFonts w:asciiTheme="majorHAnsi" w:eastAsia="微軟正黑體" w:hAnsiTheme="majorHAnsi" w:cs="ARMingB5-Light" w:hint="eastAsia"/>
        <w:kern w:val="0"/>
        <w:sz w:val="20"/>
        <w:szCs w:val="20"/>
      </w:rPr>
      <w:t>基礎造形學報</w:t>
    </w:r>
    <w:r w:rsidR="00BB0431" w:rsidRPr="0004087C">
      <w:rPr>
        <w:rFonts w:asciiTheme="majorHAnsi" w:eastAsia="微軟正黑體" w:hAnsiTheme="majorHAnsi" w:cs="ARMingB5-Light"/>
        <w:kern w:val="0"/>
        <w:sz w:val="20"/>
        <w:szCs w:val="20"/>
      </w:rPr>
      <w:t xml:space="preserve"> </w:t>
    </w:r>
    <w:r w:rsidR="00BB7FDE" w:rsidRPr="0004087C">
      <w:rPr>
        <w:rFonts w:asciiTheme="majorHAnsi" w:eastAsia="微軟正黑體" w:hAnsiTheme="majorHAnsi" w:cs="ARMingB5-Light"/>
        <w:kern w:val="0"/>
        <w:sz w:val="20"/>
        <w:szCs w:val="20"/>
      </w:rPr>
      <w:t>第</w:t>
    </w:r>
    <w:r w:rsidR="00BB7FDE" w:rsidRPr="0004087C">
      <w:rPr>
        <w:rFonts w:asciiTheme="majorHAnsi" w:eastAsia="微軟正黑體" w:hAnsiTheme="majorHAnsi" w:cs="ARMingB5-Light"/>
        <w:kern w:val="0"/>
        <w:sz w:val="20"/>
        <w:szCs w:val="20"/>
      </w:rPr>
      <w:t xml:space="preserve"> </w:t>
    </w:r>
    <w:r w:rsidR="00BB7FDE" w:rsidRPr="0004087C">
      <w:rPr>
        <w:rFonts w:asciiTheme="majorHAnsi" w:eastAsia="微軟正黑體" w:hAnsiTheme="majorHAnsi" w:cs="TimesNewRomanPSMT"/>
        <w:kern w:val="0"/>
        <w:sz w:val="20"/>
        <w:szCs w:val="20"/>
      </w:rPr>
      <w:t xml:space="preserve">1 </w:t>
    </w:r>
    <w:r w:rsidR="00BB7FDE" w:rsidRPr="0004087C">
      <w:rPr>
        <w:rFonts w:asciiTheme="majorHAnsi" w:eastAsia="微軟正黑體" w:hAnsiTheme="majorHAnsi" w:cs="ARMingB5-Light"/>
        <w:kern w:val="0"/>
        <w:sz w:val="20"/>
        <w:szCs w:val="20"/>
      </w:rPr>
      <w:t>期</w:t>
    </w:r>
  </w:p>
  <w:p w:rsidR="00E46C01" w:rsidRDefault="00E46C01" w:rsidP="00BB0431">
    <w:pPr>
      <w:pStyle w:val="a4"/>
      <w:jc w:val="both"/>
      <w:rPr>
        <w:rFonts w:ascii="文鼎粗仿" w:eastAsia="文鼎粗仿"/>
      </w:rPr>
    </w:pPr>
  </w:p>
  <w:p w:rsidR="00F229FF" w:rsidRPr="006B299E" w:rsidRDefault="00F229FF" w:rsidP="00F229FF">
    <w:pPr>
      <w:pStyle w:val="a4"/>
      <w:tabs>
        <w:tab w:val="clear" w:pos="4153"/>
        <w:tab w:val="clear" w:pos="8306"/>
      </w:tabs>
      <w:jc w:val="both"/>
      <w:rPr>
        <w:rFonts w:ascii="文鼎粗仿" w:eastAsia="文鼎粗仿"/>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51960"/>
    <w:multiLevelType w:val="hybridMultilevel"/>
    <w:tmpl w:val="47784E12"/>
    <w:lvl w:ilvl="0" w:tplc="562E91AA">
      <w:start w:val="1"/>
      <w:numFmt w:val="taiwaneseCountingThousand"/>
      <w:pStyle w:val="a"/>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632269D3"/>
    <w:multiLevelType w:val="hybridMultilevel"/>
    <w:tmpl w:val="B7A48F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8C43FE"/>
    <w:multiLevelType w:val="hybridMultilevel"/>
    <w:tmpl w:val="6F3228F8"/>
    <w:lvl w:ilvl="0" w:tplc="CF2AF2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DE"/>
    <w:rsid w:val="000273E7"/>
    <w:rsid w:val="0004087C"/>
    <w:rsid w:val="000A769E"/>
    <w:rsid w:val="000B39E8"/>
    <w:rsid w:val="00193B11"/>
    <w:rsid w:val="00193D5F"/>
    <w:rsid w:val="001C246E"/>
    <w:rsid w:val="001F4857"/>
    <w:rsid w:val="0020224C"/>
    <w:rsid w:val="002E275C"/>
    <w:rsid w:val="00350615"/>
    <w:rsid w:val="00381797"/>
    <w:rsid w:val="00400CFA"/>
    <w:rsid w:val="0042585C"/>
    <w:rsid w:val="0045237A"/>
    <w:rsid w:val="0045633C"/>
    <w:rsid w:val="00463116"/>
    <w:rsid w:val="00475FFB"/>
    <w:rsid w:val="004D28AE"/>
    <w:rsid w:val="00516420"/>
    <w:rsid w:val="005F26E7"/>
    <w:rsid w:val="00601704"/>
    <w:rsid w:val="00663B76"/>
    <w:rsid w:val="006B299E"/>
    <w:rsid w:val="006C1CFB"/>
    <w:rsid w:val="00734362"/>
    <w:rsid w:val="008024B1"/>
    <w:rsid w:val="0084322C"/>
    <w:rsid w:val="008A6865"/>
    <w:rsid w:val="008E483E"/>
    <w:rsid w:val="00933DBF"/>
    <w:rsid w:val="009D36E9"/>
    <w:rsid w:val="009D5976"/>
    <w:rsid w:val="009F7FD1"/>
    <w:rsid w:val="00A02ABA"/>
    <w:rsid w:val="00A64D5C"/>
    <w:rsid w:val="00AB2C3B"/>
    <w:rsid w:val="00AF6539"/>
    <w:rsid w:val="00BB0431"/>
    <w:rsid w:val="00BB7FDE"/>
    <w:rsid w:val="00BC237C"/>
    <w:rsid w:val="00BC5F55"/>
    <w:rsid w:val="00BF0931"/>
    <w:rsid w:val="00C51F9A"/>
    <w:rsid w:val="00C7383A"/>
    <w:rsid w:val="00CC27FA"/>
    <w:rsid w:val="00CC3796"/>
    <w:rsid w:val="00CD015F"/>
    <w:rsid w:val="00D14138"/>
    <w:rsid w:val="00D430F6"/>
    <w:rsid w:val="00E45093"/>
    <w:rsid w:val="00E46C01"/>
    <w:rsid w:val="00E52150"/>
    <w:rsid w:val="00EB7647"/>
    <w:rsid w:val="00F1246F"/>
    <w:rsid w:val="00F229FF"/>
    <w:rsid w:val="00F938F6"/>
    <w:rsid w:val="00FA1F62"/>
    <w:rsid w:val="00FF65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74979-554D-4234-A924-3E44039D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769E"/>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B7FDE"/>
    <w:pPr>
      <w:tabs>
        <w:tab w:val="center" w:pos="4153"/>
        <w:tab w:val="right" w:pos="8306"/>
      </w:tabs>
      <w:snapToGrid w:val="0"/>
    </w:pPr>
    <w:rPr>
      <w:sz w:val="20"/>
      <w:szCs w:val="20"/>
    </w:rPr>
  </w:style>
  <w:style w:type="character" w:customStyle="1" w:styleId="a5">
    <w:name w:val="頁首 字元"/>
    <w:basedOn w:val="a1"/>
    <w:link w:val="a4"/>
    <w:uiPriority w:val="99"/>
    <w:rsid w:val="00BB7FDE"/>
    <w:rPr>
      <w:sz w:val="20"/>
      <w:szCs w:val="20"/>
    </w:rPr>
  </w:style>
  <w:style w:type="paragraph" w:styleId="a6">
    <w:name w:val="footer"/>
    <w:basedOn w:val="a0"/>
    <w:link w:val="a7"/>
    <w:uiPriority w:val="99"/>
    <w:unhideWhenUsed/>
    <w:rsid w:val="00BB7FDE"/>
    <w:pPr>
      <w:tabs>
        <w:tab w:val="center" w:pos="4153"/>
        <w:tab w:val="right" w:pos="8306"/>
      </w:tabs>
      <w:snapToGrid w:val="0"/>
    </w:pPr>
    <w:rPr>
      <w:sz w:val="20"/>
      <w:szCs w:val="20"/>
    </w:rPr>
  </w:style>
  <w:style w:type="character" w:customStyle="1" w:styleId="a7">
    <w:name w:val="頁尾 字元"/>
    <w:basedOn w:val="a1"/>
    <w:link w:val="a6"/>
    <w:uiPriority w:val="99"/>
    <w:rsid w:val="00BB7FDE"/>
    <w:rPr>
      <w:sz w:val="20"/>
      <w:szCs w:val="20"/>
    </w:rPr>
  </w:style>
  <w:style w:type="paragraph" w:styleId="a8">
    <w:name w:val="Balloon Text"/>
    <w:basedOn w:val="a0"/>
    <w:link w:val="a9"/>
    <w:uiPriority w:val="99"/>
    <w:semiHidden/>
    <w:unhideWhenUsed/>
    <w:rsid w:val="00BB7FDE"/>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BB7FDE"/>
    <w:rPr>
      <w:rFonts w:asciiTheme="majorHAnsi" w:eastAsiaTheme="majorEastAsia" w:hAnsiTheme="majorHAnsi" w:cstheme="majorBidi"/>
      <w:sz w:val="18"/>
      <w:szCs w:val="18"/>
    </w:rPr>
  </w:style>
  <w:style w:type="paragraph" w:styleId="aa">
    <w:name w:val="List Paragraph"/>
    <w:basedOn w:val="a0"/>
    <w:uiPriority w:val="34"/>
    <w:qFormat/>
    <w:rsid w:val="0084322C"/>
    <w:pPr>
      <w:ind w:leftChars="200" w:left="480"/>
    </w:pPr>
  </w:style>
  <w:style w:type="character" w:styleId="ab">
    <w:name w:val="Hyperlink"/>
    <w:basedOn w:val="a1"/>
    <w:rsid w:val="0084322C"/>
    <w:rPr>
      <w:color w:val="0000FF"/>
      <w:u w:val="single"/>
    </w:rPr>
  </w:style>
  <w:style w:type="table" w:styleId="ac">
    <w:name w:val="Table Grid"/>
    <w:aliases w:val="Table"/>
    <w:basedOn w:val="a2"/>
    <w:rsid w:val="006B299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英文標題"/>
    <w:qFormat/>
    <w:rsid w:val="00BC5F55"/>
    <w:pPr>
      <w:spacing w:beforeLines="150" w:before="540"/>
      <w:jc w:val="center"/>
    </w:pPr>
    <w:rPr>
      <w:rFonts w:ascii="Cambria" w:eastAsia="標楷體" w:hAnsi="Cambria"/>
      <w:sz w:val="36"/>
      <w:szCs w:val="36"/>
    </w:rPr>
  </w:style>
  <w:style w:type="paragraph" w:customStyle="1" w:styleId="ae">
    <w:name w:val="英文姓名"/>
    <w:next w:val="af"/>
    <w:qFormat/>
    <w:rsid w:val="00BC5F55"/>
    <w:pPr>
      <w:spacing w:beforeLines="100" w:before="360"/>
      <w:jc w:val="center"/>
    </w:pPr>
    <w:rPr>
      <w:rFonts w:asciiTheme="majorHAnsi" w:hAnsiTheme="majorHAnsi"/>
      <w:szCs w:val="24"/>
    </w:rPr>
  </w:style>
  <w:style w:type="paragraph" w:customStyle="1" w:styleId="af">
    <w:name w:val="英文學校單位"/>
    <w:next w:val="a0"/>
    <w:qFormat/>
    <w:rsid w:val="00BC5F55"/>
    <w:pPr>
      <w:jc w:val="center"/>
    </w:pPr>
    <w:rPr>
      <w:rFonts w:asciiTheme="majorHAnsi" w:eastAsia="細明體" w:hAnsiTheme="majorHAnsi"/>
      <w:sz w:val="18"/>
      <w:szCs w:val="18"/>
    </w:rPr>
  </w:style>
  <w:style w:type="paragraph" w:customStyle="1" w:styleId="Abstract">
    <w:name w:val="Abstract （英標）"/>
    <w:qFormat/>
    <w:rsid w:val="00BC5F55"/>
    <w:pPr>
      <w:spacing w:beforeLines="50" w:before="180" w:afterLines="50" w:after="180"/>
      <w:ind w:rightChars="159" w:right="382"/>
    </w:pPr>
    <w:rPr>
      <w:rFonts w:asciiTheme="majorHAnsi" w:hAnsiTheme="majorHAnsi"/>
      <w:szCs w:val="24"/>
    </w:rPr>
  </w:style>
  <w:style w:type="paragraph" w:customStyle="1" w:styleId="Abstract0">
    <w:name w:val="Abstract_內文"/>
    <w:basedOn w:val="a0"/>
    <w:qFormat/>
    <w:rsid w:val="00BC5F55"/>
    <w:pPr>
      <w:ind w:rightChars="159" w:right="382" w:firstLineChars="180" w:firstLine="432"/>
      <w:jc w:val="both"/>
    </w:pPr>
    <w:rPr>
      <w:rFonts w:asciiTheme="majorHAnsi" w:eastAsia="細明體" w:hAnsiTheme="majorHAnsi"/>
      <w:szCs w:val="24"/>
    </w:rPr>
  </w:style>
  <w:style w:type="paragraph" w:customStyle="1" w:styleId="Keywords">
    <w:name w:val="Keywords"/>
    <w:qFormat/>
    <w:rsid w:val="00BC5F55"/>
    <w:pPr>
      <w:ind w:rightChars="159" w:right="382"/>
    </w:pPr>
    <w:rPr>
      <w:rFonts w:asciiTheme="majorHAnsi" w:eastAsia="細明體" w:hAnsiTheme="majorHAnsi"/>
      <w:szCs w:val="24"/>
    </w:rPr>
  </w:style>
  <w:style w:type="paragraph" w:customStyle="1" w:styleId="af0">
    <w:name w:val="中文標題"/>
    <w:qFormat/>
    <w:rsid w:val="00BC5F55"/>
    <w:pPr>
      <w:spacing w:beforeLines="150" w:before="540"/>
      <w:jc w:val="center"/>
    </w:pPr>
    <w:rPr>
      <w:rFonts w:asciiTheme="majorHAnsi" w:eastAsia="文鼎粗仿" w:hAnsiTheme="majorHAnsi" w:cs="Times New Roman"/>
      <w:sz w:val="44"/>
      <w:szCs w:val="44"/>
    </w:rPr>
  </w:style>
  <w:style w:type="paragraph" w:customStyle="1" w:styleId="af1">
    <w:name w:val="中文姓名"/>
    <w:qFormat/>
    <w:rsid w:val="00BC5F55"/>
    <w:pPr>
      <w:autoSpaceDE w:val="0"/>
      <w:autoSpaceDN w:val="0"/>
      <w:adjustRightInd w:val="0"/>
      <w:spacing w:beforeLines="100" w:before="360"/>
      <w:jc w:val="center"/>
    </w:pPr>
    <w:rPr>
      <w:rFonts w:asciiTheme="majorHAnsi" w:eastAsia="文鼎粗仿" w:hAnsiTheme="majorHAnsi" w:cs="Times New Roman"/>
      <w:kern w:val="0"/>
      <w:szCs w:val="24"/>
    </w:rPr>
  </w:style>
  <w:style w:type="paragraph" w:customStyle="1" w:styleId="af2">
    <w:name w:val="中文單位"/>
    <w:qFormat/>
    <w:rsid w:val="00BC5F55"/>
    <w:pPr>
      <w:jc w:val="center"/>
    </w:pPr>
    <w:rPr>
      <w:rFonts w:asciiTheme="majorHAnsi" w:eastAsia="文鼎粗仿" w:hAnsiTheme="majorHAnsi" w:cs="Times New Roman"/>
      <w:kern w:val="0"/>
      <w:sz w:val="18"/>
      <w:szCs w:val="18"/>
    </w:rPr>
  </w:style>
  <w:style w:type="paragraph" w:customStyle="1" w:styleId="af3">
    <w:name w:val="中文摘要標題"/>
    <w:qFormat/>
    <w:rsid w:val="00BC5F55"/>
    <w:pPr>
      <w:spacing w:beforeLines="50" w:before="180" w:afterLines="50" w:after="180"/>
    </w:pPr>
    <w:rPr>
      <w:rFonts w:asciiTheme="majorHAnsi" w:eastAsia="文鼎粗仿" w:hAnsiTheme="majorHAnsi" w:cs="Times New Roman"/>
      <w:kern w:val="0"/>
      <w:szCs w:val="24"/>
    </w:rPr>
  </w:style>
  <w:style w:type="paragraph" w:customStyle="1" w:styleId="af4">
    <w:name w:val="中文摘要內文"/>
    <w:qFormat/>
    <w:rsid w:val="00BC5F55"/>
    <w:pPr>
      <w:ind w:rightChars="23" w:right="55" w:firstLineChars="204" w:firstLine="490"/>
      <w:jc w:val="both"/>
    </w:pPr>
    <w:rPr>
      <w:rFonts w:asciiTheme="majorHAnsi" w:eastAsia="文鼎粗仿" w:hAnsiTheme="majorHAnsi" w:cs="Times New Roman"/>
      <w:szCs w:val="24"/>
    </w:rPr>
  </w:style>
  <w:style w:type="paragraph" w:customStyle="1" w:styleId="af5">
    <w:name w:val="中文關鍵字"/>
    <w:qFormat/>
    <w:rsid w:val="00BC5F55"/>
    <w:pPr>
      <w:ind w:rightChars="159" w:right="382"/>
    </w:pPr>
    <w:rPr>
      <w:rFonts w:asciiTheme="majorHAnsi" w:eastAsia="文鼎粗仿" w:hAnsiTheme="majorHAnsi" w:cs="Times New Roman"/>
      <w:szCs w:val="24"/>
    </w:rPr>
  </w:style>
  <w:style w:type="paragraph" w:customStyle="1" w:styleId="a">
    <w:name w:val="一、"/>
    <w:basedOn w:val="aa"/>
    <w:qFormat/>
    <w:rsid w:val="00BC5F55"/>
    <w:pPr>
      <w:numPr>
        <w:numId w:val="3"/>
      </w:numPr>
      <w:spacing w:beforeLines="50" w:before="180" w:afterLines="50" w:after="180"/>
      <w:ind w:leftChars="0" w:left="482" w:hanging="482"/>
    </w:pPr>
    <w:rPr>
      <w:rFonts w:asciiTheme="majorHAnsi" w:eastAsia="文鼎粗仿" w:hAnsiTheme="majorHAnsi" w:cs="Times New Roman"/>
      <w:szCs w:val="24"/>
    </w:rPr>
  </w:style>
  <w:style w:type="paragraph" w:customStyle="1" w:styleId="af6">
    <w:name w:val="(一)"/>
    <w:qFormat/>
    <w:rsid w:val="00BC5F55"/>
    <w:pPr>
      <w:spacing w:beforeLines="50" w:before="180" w:afterLines="50" w:after="180"/>
    </w:pPr>
    <w:rPr>
      <w:rFonts w:ascii="文鼎粗仿" w:eastAsia="文鼎粗仿" w:hAnsiTheme="majorHAnsi" w:cs="Times New Roman"/>
      <w:szCs w:val="24"/>
    </w:rPr>
  </w:style>
  <w:style w:type="paragraph" w:customStyle="1" w:styleId="1">
    <w:name w:val="1."/>
    <w:qFormat/>
    <w:rsid w:val="00BC5F55"/>
    <w:pPr>
      <w:spacing w:beforeLines="50" w:before="180"/>
      <w:jc w:val="both"/>
    </w:pPr>
    <w:rPr>
      <w:rFonts w:asciiTheme="majorHAnsi" w:eastAsia="文鼎粗仿" w:hAnsiTheme="majorHAnsi" w:cs="Times New Roman"/>
      <w:szCs w:val="24"/>
    </w:rPr>
  </w:style>
  <w:style w:type="paragraph" w:customStyle="1" w:styleId="af7">
    <w:name w:val="表標題"/>
    <w:qFormat/>
    <w:rsid w:val="00BC5F55"/>
    <w:pPr>
      <w:ind w:left="360" w:hangingChars="150" w:hanging="360"/>
    </w:pPr>
    <w:rPr>
      <w:rFonts w:asciiTheme="majorHAnsi" w:eastAsia="文鼎粗仿" w:hAnsiTheme="majorHAnsi" w:cs="Times New Roman"/>
      <w:szCs w:val="24"/>
    </w:rPr>
  </w:style>
  <w:style w:type="paragraph" w:customStyle="1" w:styleId="af8">
    <w:name w:val="圖標題"/>
    <w:basedOn w:val="a0"/>
    <w:qFormat/>
    <w:rsid w:val="00BC5F55"/>
    <w:pPr>
      <w:jc w:val="center"/>
    </w:pPr>
    <w:rPr>
      <w:rFonts w:asciiTheme="majorHAnsi" w:eastAsia="文鼎粗仿" w:hAnsiTheme="majorHAnsi" w:cs="Times New Roman"/>
      <w:kern w:val="0"/>
      <w:szCs w:val="24"/>
    </w:rPr>
  </w:style>
  <w:style w:type="paragraph" w:customStyle="1" w:styleId="af9">
    <w:name w:val="中文參考文獻"/>
    <w:qFormat/>
    <w:rsid w:val="00BC5F55"/>
    <w:pPr>
      <w:tabs>
        <w:tab w:val="left" w:pos="360"/>
      </w:tabs>
      <w:ind w:left="360" w:hangingChars="150" w:hanging="360"/>
    </w:pPr>
    <w:rPr>
      <w:rFonts w:asciiTheme="majorHAnsi" w:eastAsia="文鼎粗仿" w:hAnsiTheme="majorHAnsi" w:cs="Times New Roman"/>
      <w:szCs w:val="24"/>
    </w:rPr>
  </w:style>
  <w:style w:type="paragraph" w:customStyle="1" w:styleId="afa">
    <w:name w:val="英文參考文獻"/>
    <w:qFormat/>
    <w:rsid w:val="00BC5F55"/>
    <w:pPr>
      <w:tabs>
        <w:tab w:val="left" w:pos="360"/>
      </w:tabs>
      <w:ind w:left="360" w:hangingChars="150" w:hanging="360"/>
    </w:pPr>
    <w:rPr>
      <w:rFonts w:asciiTheme="majorHAnsi" w:eastAsia="文鼎粗仿" w:hAnsiTheme="maj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3521</Characters>
  <Application>Microsoft Office Word</Application>
  <DocSecurity>0</DocSecurity>
  <Lines>29</Lines>
  <Paragraphs>8</Paragraphs>
  <ScaleCrop>false</ScaleCrop>
  <Company>MCU</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2019-09-04T15:04:00Z</cp:lastPrinted>
  <dcterms:created xsi:type="dcterms:W3CDTF">2019-09-04T15:23:00Z</dcterms:created>
  <dcterms:modified xsi:type="dcterms:W3CDTF">2019-09-04T15:23:00Z</dcterms:modified>
</cp:coreProperties>
</file>